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270" w:lineRule="atLeast"/>
        <w:ind w:firstLine="480"/>
        <w:jc w:val="center"/>
        <w:rPr>
          <w:rFonts w:ascii="仿宋" w:hAnsi="仿宋" w:eastAsia="仿宋" w:cs="宋体"/>
          <w:color w:val="333333"/>
          <w:kern w:val="0"/>
          <w:sz w:val="32"/>
          <w:szCs w:val="32"/>
        </w:rPr>
      </w:pPr>
      <w:bookmarkStart w:id="0" w:name="_GoBack"/>
      <w:bookmarkEnd w:id="0"/>
      <w:r>
        <w:rPr>
          <w:rFonts w:ascii="Times New Roman" w:hAnsi="Times New Roman" w:eastAsia="方正小标宋简体" w:cs="Times New Roman"/>
          <w:sz w:val="36"/>
          <w:szCs w:val="36"/>
        </w:rPr>
        <w:t>十堰市水污染防治技术指导目录</w:t>
      </w:r>
      <w:r>
        <w:rPr>
          <w:rFonts w:hint="eastAsia" w:ascii="Times New Roman" w:hAnsi="Times New Roman" w:eastAsia="方正小标宋简体" w:cs="Times New Roman"/>
          <w:sz w:val="36"/>
          <w:szCs w:val="36"/>
        </w:rPr>
        <w:t>（征求意见稿）</w:t>
      </w:r>
    </w:p>
    <w:p>
      <w:pPr>
        <w:spacing w:line="312" w:lineRule="auto"/>
        <w:jc w:val="center"/>
        <w:rPr>
          <w:rFonts w:ascii="Times New Roman" w:hAnsi="Times New Roman" w:eastAsia="方正小标宋简体" w:cs="Times New Roman"/>
          <w:sz w:val="36"/>
          <w:szCs w:val="36"/>
        </w:rPr>
      </w:pPr>
    </w:p>
    <w:p>
      <w:pPr>
        <w:spacing w:line="312" w:lineRule="auto"/>
        <w:jc w:val="center"/>
        <w:rPr>
          <w:rFonts w:ascii="Times New Roman" w:hAnsi="Times New Roman" w:eastAsia="方正小标宋简体" w:cs="Times New Roman"/>
          <w:sz w:val="36"/>
          <w:szCs w:val="36"/>
        </w:rPr>
      </w:pPr>
    </w:p>
    <w:tbl>
      <w:tblPr>
        <w:tblStyle w:val="7"/>
        <w:tblW w:w="13995" w:type="dxa"/>
        <w:tblInd w:w="0" w:type="dxa"/>
        <w:tblLayout w:type="fixed"/>
        <w:tblCellMar>
          <w:top w:w="0" w:type="dxa"/>
          <w:left w:w="108" w:type="dxa"/>
          <w:bottom w:w="0" w:type="dxa"/>
          <w:right w:w="108" w:type="dxa"/>
        </w:tblCellMar>
      </w:tblPr>
      <w:tblGrid>
        <w:gridCol w:w="648"/>
        <w:gridCol w:w="1857"/>
        <w:gridCol w:w="6982"/>
        <w:gridCol w:w="2037"/>
        <w:gridCol w:w="2471"/>
      </w:tblGrid>
      <w:tr>
        <w:tblPrEx>
          <w:tblLayout w:type="fixed"/>
          <w:tblCellMar>
            <w:top w:w="0" w:type="dxa"/>
            <w:left w:w="108" w:type="dxa"/>
            <w:bottom w:w="0" w:type="dxa"/>
            <w:right w:w="108" w:type="dxa"/>
          </w:tblCellMar>
        </w:tblPrEx>
        <w:trPr>
          <w:trHeight w:val="459" w:hRule="atLeast"/>
        </w:trPr>
        <w:tc>
          <w:tcPr>
            <w:tcW w:w="648" w:type="dxa"/>
            <w:tcBorders>
              <w:top w:val="single" w:color="auto" w:sz="6" w:space="0"/>
              <w:left w:val="single" w:color="auto" w:sz="6" w:space="0"/>
              <w:bottom w:val="single" w:color="auto" w:sz="6" w:space="0"/>
              <w:right w:val="single" w:color="auto" w:sz="6" w:space="0"/>
            </w:tcBorders>
            <w:vAlign w:val="center"/>
          </w:tcPr>
          <w:p>
            <w:pPr>
              <w:spacing w:line="312" w:lineRule="auto"/>
              <w:jc w:val="center"/>
              <w:rPr>
                <w:rFonts w:ascii="Times New Roman" w:hAnsi="Times New Roman" w:eastAsia="仿宋_GB2312" w:cs="Times New Roman"/>
                <w:spacing w:val="-20"/>
                <w:sz w:val="24"/>
              </w:rPr>
            </w:pPr>
            <w:r>
              <w:rPr>
                <w:rFonts w:ascii="Times New Roman" w:hAnsi="Times New Roman" w:eastAsia="仿宋_GB2312" w:cs="Times New Roman"/>
                <w:spacing w:val="-20"/>
                <w:sz w:val="24"/>
              </w:rPr>
              <w:t>序号</w:t>
            </w:r>
          </w:p>
        </w:tc>
        <w:tc>
          <w:tcPr>
            <w:tcW w:w="1857" w:type="dxa"/>
            <w:tcBorders>
              <w:top w:val="single" w:color="auto" w:sz="6" w:space="0"/>
              <w:left w:val="single" w:color="auto" w:sz="6" w:space="0"/>
              <w:bottom w:val="single" w:color="auto" w:sz="6" w:space="0"/>
              <w:right w:val="single" w:color="auto" w:sz="6" w:space="0"/>
            </w:tcBorders>
            <w:vAlign w:val="center"/>
          </w:tcPr>
          <w:p>
            <w:pPr>
              <w:spacing w:line="312" w:lineRule="auto"/>
              <w:jc w:val="center"/>
              <w:rPr>
                <w:rFonts w:ascii="Times New Roman" w:hAnsi="Times New Roman" w:eastAsia="仿宋_GB2312" w:cs="Times New Roman"/>
                <w:sz w:val="24"/>
              </w:rPr>
            </w:pPr>
            <w:r>
              <w:rPr>
                <w:rFonts w:ascii="Times New Roman" w:hAnsi="Times New Roman" w:eastAsia="仿宋_GB2312" w:cs="Times New Roman"/>
                <w:sz w:val="24"/>
              </w:rPr>
              <w:t>技术名称</w:t>
            </w:r>
          </w:p>
        </w:tc>
        <w:tc>
          <w:tcPr>
            <w:tcW w:w="6982" w:type="dxa"/>
            <w:tcBorders>
              <w:top w:val="single" w:color="auto" w:sz="6" w:space="0"/>
              <w:left w:val="single" w:color="auto" w:sz="6" w:space="0"/>
              <w:bottom w:val="single" w:color="auto" w:sz="6" w:space="0"/>
              <w:right w:val="single" w:color="auto" w:sz="6" w:space="0"/>
            </w:tcBorders>
            <w:vAlign w:val="center"/>
          </w:tcPr>
          <w:p>
            <w:pPr>
              <w:spacing w:line="312" w:lineRule="auto"/>
              <w:jc w:val="center"/>
              <w:rPr>
                <w:rFonts w:ascii="Times New Roman" w:hAnsi="Times New Roman" w:eastAsia="仿宋_GB2312" w:cs="Times New Roman"/>
                <w:sz w:val="24"/>
              </w:rPr>
            </w:pPr>
            <w:r>
              <w:rPr>
                <w:rFonts w:ascii="Times New Roman" w:hAnsi="Times New Roman" w:eastAsia="仿宋_GB2312" w:cs="Times New Roman"/>
                <w:sz w:val="24"/>
              </w:rPr>
              <w:t>内容及指标</w:t>
            </w:r>
          </w:p>
        </w:tc>
        <w:tc>
          <w:tcPr>
            <w:tcW w:w="2037" w:type="dxa"/>
            <w:tcBorders>
              <w:top w:val="single" w:color="auto" w:sz="6" w:space="0"/>
              <w:left w:val="single" w:color="auto" w:sz="6" w:space="0"/>
              <w:bottom w:val="single" w:color="auto" w:sz="6" w:space="0"/>
              <w:right w:val="single" w:color="auto" w:sz="6" w:space="0"/>
            </w:tcBorders>
            <w:vAlign w:val="center"/>
          </w:tcPr>
          <w:p>
            <w:pPr>
              <w:spacing w:line="312" w:lineRule="auto"/>
              <w:jc w:val="center"/>
              <w:rPr>
                <w:rFonts w:ascii="Times New Roman" w:hAnsi="Times New Roman" w:eastAsia="仿宋_GB2312" w:cs="Times New Roman"/>
                <w:sz w:val="24"/>
              </w:rPr>
            </w:pPr>
            <w:r>
              <w:rPr>
                <w:rFonts w:ascii="Times New Roman" w:hAnsi="Times New Roman" w:eastAsia="仿宋_GB2312" w:cs="Times New Roman"/>
                <w:sz w:val="24"/>
              </w:rPr>
              <w:t>适用范围</w:t>
            </w:r>
          </w:p>
        </w:tc>
        <w:tc>
          <w:tcPr>
            <w:tcW w:w="2471" w:type="dxa"/>
            <w:tcBorders>
              <w:top w:val="single" w:color="auto" w:sz="6" w:space="0"/>
              <w:left w:val="single" w:color="auto" w:sz="6" w:space="0"/>
              <w:bottom w:val="single" w:color="auto" w:sz="6" w:space="0"/>
              <w:right w:val="single" w:color="auto" w:sz="6" w:space="0"/>
            </w:tcBorders>
            <w:vAlign w:val="center"/>
          </w:tcPr>
          <w:p>
            <w:pPr>
              <w:spacing w:line="312" w:lineRule="auto"/>
              <w:jc w:val="center"/>
              <w:rPr>
                <w:rFonts w:ascii="Times New Roman" w:hAnsi="Times New Roman" w:eastAsia="仿宋_GB2312" w:cs="Times New Roman"/>
                <w:sz w:val="24"/>
              </w:rPr>
            </w:pPr>
            <w:r>
              <w:rPr>
                <w:rFonts w:ascii="Times New Roman" w:hAnsi="Times New Roman" w:eastAsia="仿宋_GB2312" w:cs="Times New Roman"/>
                <w:sz w:val="24"/>
              </w:rPr>
              <w:t>技术依托单位</w:t>
            </w:r>
          </w:p>
        </w:tc>
      </w:tr>
      <w:tr>
        <w:tblPrEx>
          <w:tblLayout w:type="fixed"/>
          <w:tblCellMar>
            <w:top w:w="0" w:type="dxa"/>
            <w:left w:w="108" w:type="dxa"/>
            <w:bottom w:w="0" w:type="dxa"/>
            <w:right w:w="108" w:type="dxa"/>
          </w:tblCellMar>
        </w:tblPrEx>
        <w:trPr>
          <w:trHeight w:val="1417" w:hRule="atLeast"/>
        </w:trPr>
        <w:tc>
          <w:tcPr>
            <w:tcW w:w="648" w:type="dxa"/>
            <w:tcBorders>
              <w:top w:val="single" w:color="auto" w:sz="6" w:space="0"/>
              <w:left w:val="single" w:color="auto" w:sz="6" w:space="0"/>
              <w:bottom w:val="single" w:color="auto" w:sz="6" w:space="0"/>
              <w:right w:val="single" w:color="auto" w:sz="6" w:space="0"/>
            </w:tcBorders>
            <w:vAlign w:val="center"/>
          </w:tcPr>
          <w:p>
            <w:pPr>
              <w:spacing w:line="312" w:lineRule="auto"/>
              <w:jc w:val="center"/>
              <w:rPr>
                <w:rFonts w:ascii="Times New Roman" w:hAnsi="Times New Roman" w:eastAsia="仿宋_GB2312" w:cs="Times New Roman"/>
                <w:spacing w:val="-10"/>
                <w:sz w:val="24"/>
              </w:rPr>
            </w:pPr>
            <w:r>
              <w:rPr>
                <w:rFonts w:ascii="Times New Roman" w:hAnsi="Times New Roman" w:eastAsia="仿宋_GB2312" w:cs="Times New Roman"/>
                <w:spacing w:val="-10"/>
                <w:sz w:val="24"/>
              </w:rPr>
              <w:t>1</w:t>
            </w:r>
          </w:p>
        </w:tc>
        <w:tc>
          <w:tcPr>
            <w:tcW w:w="1857"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Times New Roman" w:hAnsi="Times New Roman" w:eastAsia="仿宋_GB2312" w:cs="Times New Roman"/>
                <w:spacing w:val="-10"/>
                <w:sz w:val="24"/>
              </w:rPr>
            </w:pPr>
            <w:r>
              <w:rPr>
                <w:rFonts w:ascii="Times New Roman" w:hAnsi="Times New Roman" w:eastAsia="仿宋_GB2312" w:cs="Times New Roman"/>
                <w:spacing w:val="-10"/>
                <w:sz w:val="24"/>
              </w:rPr>
              <w:t>芮诺卡“红菌”(即厌氧氨氧化)脱氮专利技术</w:t>
            </w:r>
          </w:p>
        </w:tc>
        <w:tc>
          <w:tcPr>
            <w:tcW w:w="6982" w:type="dxa"/>
            <w:tcBorders>
              <w:top w:val="single" w:color="auto" w:sz="6" w:space="0"/>
              <w:left w:val="single" w:color="auto" w:sz="6" w:space="0"/>
              <w:bottom w:val="single" w:color="auto" w:sz="6" w:space="0"/>
              <w:right w:val="single" w:color="auto" w:sz="6" w:space="0"/>
            </w:tcBorders>
            <w:vAlign w:val="center"/>
          </w:tcPr>
          <w:p>
            <w:pPr>
              <w:spacing w:line="312" w:lineRule="auto"/>
              <w:ind w:firstLine="440" w:firstLineChars="200"/>
              <w:rPr>
                <w:rFonts w:ascii="Times New Roman" w:hAnsi="Times New Roman" w:eastAsia="仿宋_GB2312" w:cs="Times New Roman"/>
                <w:spacing w:val="-10"/>
                <w:sz w:val="24"/>
              </w:rPr>
            </w:pPr>
            <w:r>
              <w:rPr>
                <w:rFonts w:hint="eastAsia" w:ascii="Times New Roman" w:hAnsi="Times New Roman" w:eastAsia="仿宋_GB2312" w:cs="Times New Roman"/>
                <w:spacing w:val="-10"/>
                <w:sz w:val="24"/>
              </w:rPr>
              <w:t>垃圾渗滤液通过两级UASB去除85%COD，同时产生甲烷。UASB出水进入“红菌”脱氮系统去除氨氮和总氮，最终经过UF/RO两级膜过滤出水。</w:t>
            </w:r>
          </w:p>
        </w:tc>
        <w:tc>
          <w:tcPr>
            <w:tcW w:w="2037"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Times New Roman" w:hAnsi="Times New Roman" w:eastAsia="仿宋_GB2312" w:cs="Times New Roman"/>
                <w:spacing w:val="-10"/>
                <w:sz w:val="24"/>
              </w:rPr>
            </w:pPr>
            <w:r>
              <w:rPr>
                <w:rFonts w:ascii="Times New Roman" w:hAnsi="Times New Roman" w:eastAsia="仿宋_GB2312" w:cs="Times New Roman"/>
                <w:spacing w:val="-10"/>
                <w:sz w:val="24"/>
              </w:rPr>
              <w:t>高氨氮废水</w:t>
            </w:r>
          </w:p>
        </w:tc>
        <w:tc>
          <w:tcPr>
            <w:tcW w:w="2471"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Times New Roman" w:hAnsi="Times New Roman" w:eastAsia="仿宋_GB2312" w:cs="Times New Roman"/>
                <w:spacing w:val="-10"/>
                <w:sz w:val="24"/>
              </w:rPr>
            </w:pPr>
            <w:r>
              <w:rPr>
                <w:rFonts w:ascii="Times New Roman" w:hAnsi="Times New Roman" w:eastAsia="仿宋_GB2312" w:cs="Times New Roman"/>
                <w:spacing w:val="-10"/>
                <w:sz w:val="24"/>
              </w:rPr>
              <w:t>北京排水集团</w:t>
            </w:r>
          </w:p>
        </w:tc>
      </w:tr>
      <w:tr>
        <w:tblPrEx>
          <w:tblLayout w:type="fixed"/>
          <w:tblCellMar>
            <w:top w:w="0" w:type="dxa"/>
            <w:left w:w="108" w:type="dxa"/>
            <w:bottom w:w="0" w:type="dxa"/>
            <w:right w:w="108" w:type="dxa"/>
          </w:tblCellMar>
        </w:tblPrEx>
        <w:trPr>
          <w:trHeight w:val="1417" w:hRule="atLeast"/>
        </w:trPr>
        <w:tc>
          <w:tcPr>
            <w:tcW w:w="648" w:type="dxa"/>
            <w:tcBorders>
              <w:top w:val="single" w:color="auto" w:sz="6" w:space="0"/>
              <w:left w:val="single" w:color="auto" w:sz="6" w:space="0"/>
              <w:bottom w:val="single" w:color="auto" w:sz="6" w:space="0"/>
              <w:right w:val="single" w:color="auto" w:sz="6" w:space="0"/>
            </w:tcBorders>
            <w:vAlign w:val="center"/>
          </w:tcPr>
          <w:p>
            <w:pPr>
              <w:spacing w:line="312" w:lineRule="auto"/>
              <w:jc w:val="center"/>
              <w:rPr>
                <w:rFonts w:ascii="Times New Roman" w:hAnsi="Times New Roman" w:eastAsia="仿宋_GB2312" w:cs="Times New Roman"/>
                <w:spacing w:val="-10"/>
                <w:sz w:val="24"/>
              </w:rPr>
            </w:pPr>
            <w:r>
              <w:rPr>
                <w:rFonts w:ascii="Times New Roman" w:hAnsi="Times New Roman" w:eastAsia="仿宋_GB2312" w:cs="Times New Roman"/>
                <w:spacing w:val="-10"/>
                <w:sz w:val="24"/>
              </w:rPr>
              <w:t>2</w:t>
            </w:r>
          </w:p>
        </w:tc>
        <w:tc>
          <w:tcPr>
            <w:tcW w:w="1857"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Times New Roman" w:hAnsi="Times New Roman" w:eastAsia="仿宋_GB2312" w:cs="Times New Roman"/>
                <w:spacing w:val="-10"/>
                <w:sz w:val="24"/>
              </w:rPr>
            </w:pPr>
            <w:r>
              <w:rPr>
                <w:rFonts w:hint="eastAsia" w:ascii="Times New Roman" w:hAnsi="Times New Roman" w:eastAsia="仿宋_GB2312" w:cs="Times New Roman"/>
                <w:spacing w:val="-10"/>
                <w:sz w:val="24"/>
              </w:rPr>
              <w:t>高密度沉淀池+硝化生物滤池 深度处理工艺</w:t>
            </w:r>
          </w:p>
        </w:tc>
        <w:tc>
          <w:tcPr>
            <w:tcW w:w="6982"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Times New Roman" w:hAnsi="Times New Roman" w:eastAsia="仿宋_GB2312" w:cs="Times New Roman"/>
                <w:spacing w:val="-10"/>
                <w:sz w:val="24"/>
              </w:rPr>
            </w:pPr>
            <w:r>
              <w:rPr>
                <w:rFonts w:ascii="Times New Roman" w:hAnsi="Times New Roman" w:eastAsia="仿宋_GB2312" w:cs="Times New Roman"/>
                <w:spacing w:val="-10"/>
                <w:sz w:val="24"/>
              </w:rPr>
              <w:t>　　</w:t>
            </w:r>
            <w:r>
              <w:rPr>
                <w:rFonts w:hint="eastAsia" w:ascii="Times New Roman" w:hAnsi="Times New Roman" w:eastAsia="仿宋_GB2312" w:cs="Times New Roman"/>
                <w:spacing w:val="-10"/>
                <w:sz w:val="24"/>
              </w:rPr>
              <w:t>二级处理后污水经水泵二次提升后依次进入硝化生物滤池和高密度沉淀池，进一步去除二级生化处理系统未去除的氨氮、BOD5、总磷、悬浮物。</w:t>
            </w:r>
          </w:p>
        </w:tc>
        <w:tc>
          <w:tcPr>
            <w:tcW w:w="2037"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Times New Roman" w:hAnsi="Times New Roman" w:eastAsia="仿宋_GB2312" w:cs="Times New Roman"/>
                <w:spacing w:val="-10"/>
                <w:sz w:val="24"/>
              </w:rPr>
            </w:pPr>
            <w:r>
              <w:rPr>
                <w:rFonts w:ascii="Times New Roman" w:hAnsi="Times New Roman" w:eastAsia="仿宋_GB2312" w:cs="Times New Roman"/>
                <w:spacing w:val="-10"/>
                <w:sz w:val="24"/>
              </w:rPr>
              <w:t>污水处理</w:t>
            </w:r>
          </w:p>
        </w:tc>
        <w:tc>
          <w:tcPr>
            <w:tcW w:w="2471"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Times New Roman" w:hAnsi="Times New Roman" w:eastAsia="仿宋_GB2312" w:cs="Times New Roman"/>
                <w:spacing w:val="-10"/>
                <w:sz w:val="24"/>
              </w:rPr>
            </w:pPr>
            <w:r>
              <w:rPr>
                <w:rFonts w:hint="eastAsia" w:ascii="Times New Roman" w:hAnsi="Times New Roman" w:eastAsia="仿宋_GB2312" w:cs="Times New Roman"/>
                <w:spacing w:val="-10"/>
                <w:sz w:val="24"/>
              </w:rPr>
              <w:t>中南设计研究总院有限公司</w:t>
            </w:r>
          </w:p>
        </w:tc>
      </w:tr>
      <w:tr>
        <w:tblPrEx>
          <w:tblLayout w:type="fixed"/>
          <w:tblCellMar>
            <w:top w:w="0" w:type="dxa"/>
            <w:left w:w="108" w:type="dxa"/>
            <w:bottom w:w="0" w:type="dxa"/>
            <w:right w:w="108" w:type="dxa"/>
          </w:tblCellMar>
        </w:tblPrEx>
        <w:trPr>
          <w:trHeight w:val="1417" w:hRule="atLeast"/>
        </w:trPr>
        <w:tc>
          <w:tcPr>
            <w:tcW w:w="648" w:type="dxa"/>
            <w:tcBorders>
              <w:top w:val="single" w:color="auto" w:sz="6" w:space="0"/>
              <w:left w:val="single" w:color="auto" w:sz="6" w:space="0"/>
              <w:bottom w:val="single" w:color="auto" w:sz="6" w:space="0"/>
              <w:right w:val="single" w:color="auto" w:sz="6" w:space="0"/>
            </w:tcBorders>
            <w:vAlign w:val="center"/>
          </w:tcPr>
          <w:p>
            <w:pPr>
              <w:spacing w:line="312" w:lineRule="auto"/>
              <w:jc w:val="center"/>
              <w:rPr>
                <w:rFonts w:ascii="Times New Roman" w:hAnsi="Times New Roman" w:eastAsia="仿宋_GB2312" w:cs="Times New Roman"/>
                <w:spacing w:val="-10"/>
                <w:sz w:val="24"/>
              </w:rPr>
            </w:pPr>
            <w:r>
              <w:rPr>
                <w:rFonts w:ascii="Times New Roman" w:hAnsi="Times New Roman" w:eastAsia="仿宋_GB2312" w:cs="Times New Roman"/>
                <w:spacing w:val="-10"/>
                <w:sz w:val="24"/>
              </w:rPr>
              <w:t>3</w:t>
            </w:r>
          </w:p>
        </w:tc>
        <w:tc>
          <w:tcPr>
            <w:tcW w:w="1857"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Times New Roman" w:hAnsi="Times New Roman" w:eastAsia="仿宋_GB2312" w:cs="Times New Roman"/>
                <w:spacing w:val="-10"/>
                <w:sz w:val="24"/>
              </w:rPr>
            </w:pPr>
            <w:r>
              <w:rPr>
                <w:rFonts w:hint="eastAsia" w:ascii="Times New Roman" w:hAnsi="Times New Roman" w:eastAsia="仿宋_GB2312" w:cs="Times New Roman"/>
                <w:spacing w:val="-10"/>
                <w:sz w:val="24"/>
              </w:rPr>
              <w:t>设备数字化管理系统实现设备和巡视作业的电子化、规范化管理系统</w:t>
            </w:r>
          </w:p>
        </w:tc>
        <w:tc>
          <w:tcPr>
            <w:tcW w:w="6982"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Times New Roman" w:hAnsi="Times New Roman" w:eastAsia="仿宋_GB2312" w:cs="Times New Roman"/>
                <w:spacing w:val="-10"/>
                <w:sz w:val="24"/>
              </w:rPr>
            </w:pPr>
            <w:r>
              <w:rPr>
                <w:rFonts w:ascii="Times New Roman" w:hAnsi="Times New Roman" w:eastAsia="仿宋_GB2312" w:cs="Times New Roman"/>
                <w:spacing w:val="-10"/>
                <w:sz w:val="24"/>
              </w:rPr>
              <w:t>　　该</w:t>
            </w:r>
            <w:r>
              <w:rPr>
                <w:rFonts w:hint="eastAsia" w:ascii="Times New Roman" w:hAnsi="Times New Roman" w:eastAsia="仿宋_GB2312" w:cs="Times New Roman"/>
                <w:spacing w:val="-10"/>
                <w:sz w:val="24"/>
              </w:rPr>
              <w:t>系统实现数据动态实时更新信息、配套安卓平台APP可实现统一化管理，APP端实现设施设备保养维修周期的主动提醒功能。系统对重要设施设备的运行状态进行实时监控，设备异常状态可以第一时间以手机短信预警或值班平台语音提醒方式反馈，提高事故处理能力。</w:t>
            </w:r>
          </w:p>
        </w:tc>
        <w:tc>
          <w:tcPr>
            <w:tcW w:w="2037"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Times New Roman" w:hAnsi="Times New Roman" w:eastAsia="仿宋_GB2312" w:cs="Times New Roman"/>
                <w:spacing w:val="-10"/>
                <w:sz w:val="24"/>
              </w:rPr>
            </w:pPr>
            <w:r>
              <w:rPr>
                <w:rFonts w:hint="eastAsia" w:ascii="Times New Roman" w:hAnsi="Times New Roman" w:eastAsia="仿宋_GB2312" w:cs="Times New Roman"/>
                <w:spacing w:val="-10"/>
                <w:sz w:val="24"/>
              </w:rPr>
              <w:t>污水处理厂</w:t>
            </w:r>
          </w:p>
        </w:tc>
        <w:tc>
          <w:tcPr>
            <w:tcW w:w="2471"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Times New Roman" w:hAnsi="Times New Roman" w:eastAsia="仿宋_GB2312" w:cs="Times New Roman"/>
                <w:spacing w:val="-10"/>
                <w:sz w:val="24"/>
              </w:rPr>
            </w:pPr>
            <w:r>
              <w:rPr>
                <w:rFonts w:ascii="Times New Roman" w:hAnsi="Times New Roman" w:eastAsia="仿宋_GB2312" w:cs="Times New Roman"/>
                <w:spacing w:val="-10"/>
                <w:sz w:val="24"/>
              </w:rPr>
              <w:t>北京排水集团</w:t>
            </w:r>
          </w:p>
        </w:tc>
      </w:tr>
      <w:tr>
        <w:tblPrEx>
          <w:tblLayout w:type="fixed"/>
        </w:tblPrEx>
        <w:trPr>
          <w:trHeight w:val="1417" w:hRule="atLeast"/>
        </w:trPr>
        <w:tc>
          <w:tcPr>
            <w:tcW w:w="648" w:type="dxa"/>
            <w:tcBorders>
              <w:top w:val="single" w:color="auto" w:sz="6" w:space="0"/>
              <w:left w:val="single" w:color="auto" w:sz="6" w:space="0"/>
              <w:bottom w:val="single" w:color="auto" w:sz="6" w:space="0"/>
              <w:right w:val="single" w:color="auto" w:sz="6" w:space="0"/>
            </w:tcBorders>
            <w:vAlign w:val="center"/>
          </w:tcPr>
          <w:p>
            <w:pPr>
              <w:spacing w:line="312" w:lineRule="auto"/>
              <w:jc w:val="center"/>
              <w:rPr>
                <w:rFonts w:ascii="Times New Roman" w:hAnsi="Times New Roman" w:eastAsia="仿宋_GB2312" w:cs="Times New Roman"/>
                <w:spacing w:val="-10"/>
                <w:sz w:val="24"/>
              </w:rPr>
            </w:pPr>
            <w:r>
              <w:rPr>
                <w:rFonts w:ascii="Times New Roman" w:hAnsi="Times New Roman" w:eastAsia="仿宋_GB2312" w:cs="Times New Roman"/>
                <w:spacing w:val="-10"/>
                <w:sz w:val="24"/>
              </w:rPr>
              <w:t>4</w:t>
            </w:r>
          </w:p>
        </w:tc>
        <w:tc>
          <w:tcPr>
            <w:tcW w:w="1857"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Times New Roman" w:hAnsi="Times New Roman" w:eastAsia="仿宋_GB2312" w:cs="Times New Roman"/>
                <w:spacing w:val="-10"/>
                <w:sz w:val="24"/>
              </w:rPr>
            </w:pPr>
            <w:r>
              <w:rPr>
                <w:rFonts w:hint="eastAsia" w:ascii="Times New Roman" w:hAnsi="Times New Roman" w:eastAsia="仿宋_GB2312" w:cs="Times New Roman"/>
                <w:spacing w:val="-10"/>
                <w:sz w:val="24"/>
              </w:rPr>
              <w:t>一种应用于帘式膜的曝气系统优化</w:t>
            </w:r>
          </w:p>
        </w:tc>
        <w:tc>
          <w:tcPr>
            <w:tcW w:w="6982"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Times New Roman" w:hAnsi="Times New Roman" w:eastAsia="仿宋_GB2312" w:cs="Times New Roman"/>
                <w:spacing w:val="-10"/>
                <w:sz w:val="24"/>
              </w:rPr>
            </w:pPr>
            <w:r>
              <w:rPr>
                <w:rFonts w:ascii="Times New Roman" w:hAnsi="Times New Roman" w:eastAsia="仿宋_GB2312" w:cs="Times New Roman"/>
                <w:spacing w:val="-10"/>
                <w:sz w:val="24"/>
              </w:rPr>
              <w:t>　　</w:t>
            </w:r>
            <w:r>
              <w:rPr>
                <w:rFonts w:hint="eastAsia" w:ascii="Times New Roman" w:hAnsi="Times New Roman" w:eastAsia="仿宋_GB2312" w:cs="Times New Roman"/>
                <w:spacing w:val="-10"/>
                <w:sz w:val="24"/>
              </w:rPr>
              <w:t>本技术优化将管式大孔曝气改为开放槽式曝气，解决曝气管积泥及曝气孔堵塞问题。</w:t>
            </w:r>
          </w:p>
        </w:tc>
        <w:tc>
          <w:tcPr>
            <w:tcW w:w="2037"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Times New Roman" w:hAnsi="Times New Roman" w:eastAsia="仿宋_GB2312" w:cs="Times New Roman"/>
                <w:spacing w:val="-10"/>
                <w:sz w:val="24"/>
              </w:rPr>
            </w:pPr>
            <w:r>
              <w:rPr>
                <w:rFonts w:hint="eastAsia" w:ascii="Times New Roman" w:hAnsi="Times New Roman" w:eastAsia="仿宋_GB2312" w:cs="Times New Roman"/>
                <w:spacing w:val="-10"/>
                <w:sz w:val="24"/>
              </w:rPr>
              <w:t>采用帘式膜的相关行业</w:t>
            </w:r>
          </w:p>
        </w:tc>
        <w:tc>
          <w:tcPr>
            <w:tcW w:w="2471"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Times New Roman" w:hAnsi="Times New Roman" w:eastAsia="仿宋_GB2312" w:cs="Times New Roman"/>
                <w:spacing w:val="-10"/>
                <w:sz w:val="24"/>
              </w:rPr>
            </w:pPr>
            <w:r>
              <w:rPr>
                <w:rFonts w:hint="eastAsia" w:ascii="Times New Roman" w:hAnsi="Times New Roman" w:eastAsia="仿宋_GB2312" w:cs="Times New Roman"/>
                <w:spacing w:val="-10"/>
                <w:sz w:val="24"/>
              </w:rPr>
              <w:t>北京碧水源科技股份有限公司；十堰京水环境科技有限公司</w:t>
            </w:r>
          </w:p>
        </w:tc>
      </w:tr>
      <w:tr>
        <w:tblPrEx>
          <w:tblLayout w:type="fixed"/>
          <w:tblCellMar>
            <w:top w:w="0" w:type="dxa"/>
            <w:left w:w="108" w:type="dxa"/>
            <w:bottom w:w="0" w:type="dxa"/>
            <w:right w:w="108" w:type="dxa"/>
          </w:tblCellMar>
        </w:tblPrEx>
        <w:trPr>
          <w:trHeight w:val="1417" w:hRule="atLeast"/>
        </w:trPr>
        <w:tc>
          <w:tcPr>
            <w:tcW w:w="648" w:type="dxa"/>
            <w:tcBorders>
              <w:top w:val="single" w:color="auto" w:sz="6" w:space="0"/>
              <w:left w:val="single" w:color="auto" w:sz="6" w:space="0"/>
              <w:bottom w:val="single" w:color="auto" w:sz="6" w:space="0"/>
              <w:right w:val="single" w:color="auto" w:sz="6" w:space="0"/>
            </w:tcBorders>
            <w:vAlign w:val="center"/>
          </w:tcPr>
          <w:p>
            <w:pPr>
              <w:spacing w:line="312" w:lineRule="auto"/>
              <w:jc w:val="center"/>
              <w:rPr>
                <w:rFonts w:ascii="Times New Roman" w:hAnsi="Times New Roman" w:eastAsia="仿宋_GB2312" w:cs="Times New Roman"/>
                <w:spacing w:val="-10"/>
                <w:sz w:val="24"/>
              </w:rPr>
            </w:pPr>
            <w:r>
              <w:rPr>
                <w:rFonts w:ascii="Times New Roman" w:hAnsi="Times New Roman" w:eastAsia="仿宋_GB2312" w:cs="Times New Roman"/>
                <w:spacing w:val="-10"/>
                <w:sz w:val="24"/>
              </w:rPr>
              <w:t>5</w:t>
            </w:r>
          </w:p>
        </w:tc>
        <w:tc>
          <w:tcPr>
            <w:tcW w:w="1857"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Times New Roman" w:hAnsi="Times New Roman" w:eastAsia="仿宋_GB2312" w:cs="Times New Roman"/>
                <w:spacing w:val="-10"/>
                <w:sz w:val="24"/>
              </w:rPr>
            </w:pPr>
            <w:r>
              <w:rPr>
                <w:rFonts w:hint="eastAsia" w:ascii="Times New Roman" w:hAnsi="Times New Roman" w:eastAsia="仿宋_GB2312" w:cs="Times New Roman"/>
                <w:spacing w:val="-10"/>
                <w:sz w:val="24"/>
              </w:rPr>
              <w:t>一种应用于帘式膜的脉冲曝气技术</w:t>
            </w:r>
          </w:p>
        </w:tc>
        <w:tc>
          <w:tcPr>
            <w:tcW w:w="6982"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Times New Roman" w:hAnsi="Times New Roman" w:eastAsia="仿宋_GB2312" w:cs="Times New Roman"/>
                <w:spacing w:val="-10"/>
                <w:sz w:val="24"/>
              </w:rPr>
            </w:pPr>
            <w:r>
              <w:rPr>
                <w:rFonts w:ascii="Times New Roman" w:hAnsi="Times New Roman" w:eastAsia="仿宋_GB2312" w:cs="Times New Roman"/>
                <w:spacing w:val="-10"/>
                <w:sz w:val="24"/>
              </w:rPr>
              <w:t>　　</w:t>
            </w:r>
            <w:r>
              <w:rPr>
                <w:rFonts w:hint="eastAsia" w:ascii="Times New Roman" w:hAnsi="Times New Roman" w:eastAsia="仿宋_GB2312" w:cs="Times New Roman"/>
                <w:spacing w:val="-10"/>
                <w:sz w:val="24"/>
              </w:rPr>
              <w:t>高低脉冲曝气，能减低风机风量10%，另外脉冲运行，帘式膜无规则抖动，有效降低膜丝表面积泥</w:t>
            </w:r>
            <w:r>
              <w:rPr>
                <w:rFonts w:ascii="Times New Roman" w:hAnsi="Times New Roman" w:eastAsia="仿宋_GB2312" w:cs="Times New Roman"/>
                <w:spacing w:val="-10"/>
                <w:sz w:val="24"/>
              </w:rPr>
              <w:t>。</w:t>
            </w:r>
          </w:p>
        </w:tc>
        <w:tc>
          <w:tcPr>
            <w:tcW w:w="2037"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Times New Roman" w:hAnsi="Times New Roman" w:eastAsia="仿宋_GB2312" w:cs="Times New Roman"/>
                <w:spacing w:val="-10"/>
                <w:sz w:val="24"/>
              </w:rPr>
            </w:pPr>
            <w:r>
              <w:rPr>
                <w:rFonts w:hint="eastAsia" w:ascii="Times New Roman" w:hAnsi="Times New Roman" w:eastAsia="仿宋_GB2312" w:cs="Times New Roman"/>
                <w:spacing w:val="-10"/>
                <w:sz w:val="24"/>
              </w:rPr>
              <w:t>帘式膜</w:t>
            </w:r>
            <w:r>
              <w:rPr>
                <w:rFonts w:ascii="Times New Roman" w:hAnsi="Times New Roman" w:eastAsia="仿宋_GB2312" w:cs="Times New Roman"/>
                <w:spacing w:val="-10"/>
                <w:sz w:val="24"/>
              </w:rPr>
              <w:t>污染控制</w:t>
            </w:r>
          </w:p>
        </w:tc>
        <w:tc>
          <w:tcPr>
            <w:tcW w:w="2471"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Times New Roman" w:hAnsi="Times New Roman" w:eastAsia="仿宋_GB2312" w:cs="Times New Roman"/>
                <w:spacing w:val="-10"/>
                <w:sz w:val="24"/>
              </w:rPr>
            </w:pPr>
            <w:r>
              <w:rPr>
                <w:rFonts w:hint="eastAsia" w:ascii="Times New Roman" w:hAnsi="Times New Roman" w:eastAsia="仿宋_GB2312" w:cs="Times New Roman"/>
                <w:spacing w:val="-10"/>
                <w:sz w:val="24"/>
              </w:rPr>
              <w:t>北京碧水源科技股份有限公司；十堰京水环境科技有限公司</w:t>
            </w:r>
          </w:p>
        </w:tc>
      </w:tr>
      <w:tr>
        <w:tblPrEx>
          <w:tblLayout w:type="fixed"/>
          <w:tblCellMar>
            <w:top w:w="0" w:type="dxa"/>
            <w:left w:w="108" w:type="dxa"/>
            <w:bottom w:w="0" w:type="dxa"/>
            <w:right w:w="108" w:type="dxa"/>
          </w:tblCellMar>
        </w:tblPrEx>
        <w:trPr>
          <w:trHeight w:val="1417" w:hRule="atLeast"/>
        </w:trPr>
        <w:tc>
          <w:tcPr>
            <w:tcW w:w="648" w:type="dxa"/>
            <w:tcBorders>
              <w:top w:val="single" w:color="auto" w:sz="6" w:space="0"/>
              <w:left w:val="single" w:color="auto" w:sz="6" w:space="0"/>
              <w:bottom w:val="single" w:color="auto" w:sz="6" w:space="0"/>
              <w:right w:val="single" w:color="auto" w:sz="6" w:space="0"/>
            </w:tcBorders>
            <w:vAlign w:val="center"/>
          </w:tcPr>
          <w:p>
            <w:pPr>
              <w:spacing w:line="312" w:lineRule="auto"/>
              <w:jc w:val="center"/>
              <w:rPr>
                <w:rFonts w:ascii="Times New Roman" w:hAnsi="Times New Roman" w:eastAsia="仿宋_GB2312" w:cs="Times New Roman"/>
                <w:spacing w:val="-10"/>
                <w:sz w:val="24"/>
              </w:rPr>
            </w:pPr>
            <w:r>
              <w:rPr>
                <w:rFonts w:ascii="Times New Roman" w:hAnsi="Times New Roman" w:eastAsia="仿宋_GB2312" w:cs="Times New Roman"/>
                <w:spacing w:val="-10"/>
                <w:sz w:val="24"/>
              </w:rPr>
              <w:t>6</w:t>
            </w:r>
          </w:p>
        </w:tc>
        <w:tc>
          <w:tcPr>
            <w:tcW w:w="1857"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Times New Roman" w:hAnsi="Times New Roman" w:eastAsia="仿宋_GB2312" w:cs="Times New Roman"/>
                <w:spacing w:val="-10"/>
                <w:sz w:val="24"/>
              </w:rPr>
            </w:pPr>
            <w:r>
              <w:rPr>
                <w:rFonts w:hint="eastAsia" w:ascii="Times New Roman" w:hAnsi="Times New Roman" w:eastAsia="仿宋_GB2312" w:cs="Times New Roman"/>
                <w:spacing w:val="-10"/>
                <w:sz w:val="24"/>
              </w:rPr>
              <w:t>低碳氮比废水自活性耦合深度脱氮除磷技术</w:t>
            </w:r>
          </w:p>
        </w:tc>
        <w:tc>
          <w:tcPr>
            <w:tcW w:w="6982"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Times New Roman" w:hAnsi="Times New Roman" w:eastAsia="仿宋_GB2312" w:cs="Times New Roman"/>
                <w:spacing w:val="-10"/>
                <w:sz w:val="24"/>
              </w:rPr>
            </w:pPr>
            <w:r>
              <w:rPr>
                <w:rFonts w:ascii="Times New Roman" w:hAnsi="Times New Roman" w:eastAsia="仿宋_GB2312" w:cs="Times New Roman"/>
                <w:spacing w:val="-10"/>
                <w:sz w:val="24"/>
              </w:rPr>
              <w:t>　　</w:t>
            </w:r>
            <w:r>
              <w:rPr>
                <w:rFonts w:hint="eastAsia" w:ascii="Times New Roman" w:hAnsi="Times New Roman" w:eastAsia="仿宋_GB2312" w:cs="Times New Roman"/>
                <w:spacing w:val="-10"/>
                <w:sz w:val="24"/>
              </w:rPr>
              <w:t>采用还原态矿物材料制备自活性载体材料，深度脱氮过程无需添加碳源。深度脱氮自活性载体中采用还原矿物材料进行耦合。采用特殊除氧方法，能在高溶解氧进水条件下实现自养反硝化。</w:t>
            </w:r>
          </w:p>
        </w:tc>
        <w:tc>
          <w:tcPr>
            <w:tcW w:w="2037"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Times New Roman" w:hAnsi="Times New Roman" w:eastAsia="仿宋_GB2312" w:cs="Times New Roman"/>
                <w:spacing w:val="-10"/>
                <w:sz w:val="24"/>
              </w:rPr>
            </w:pPr>
            <w:r>
              <w:rPr>
                <w:rFonts w:ascii="Times New Roman" w:hAnsi="Times New Roman" w:eastAsia="仿宋_GB2312" w:cs="Times New Roman"/>
                <w:spacing w:val="-10"/>
                <w:sz w:val="24"/>
              </w:rPr>
              <w:t>水质净化、污水处理</w:t>
            </w:r>
          </w:p>
        </w:tc>
        <w:tc>
          <w:tcPr>
            <w:tcW w:w="2471"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Times New Roman" w:hAnsi="Times New Roman" w:eastAsia="仿宋_GB2312" w:cs="Times New Roman"/>
                <w:spacing w:val="-10"/>
                <w:sz w:val="24"/>
              </w:rPr>
            </w:pPr>
            <w:r>
              <w:rPr>
                <w:rFonts w:hint="eastAsia" w:ascii="Times New Roman" w:hAnsi="Times New Roman" w:eastAsia="仿宋_GB2312" w:cs="Times New Roman"/>
                <w:spacing w:val="-10"/>
                <w:sz w:val="24"/>
              </w:rPr>
              <w:t>深圳市深港产学研环保工程技术股份有限公司</w:t>
            </w:r>
          </w:p>
        </w:tc>
      </w:tr>
      <w:tr>
        <w:tblPrEx>
          <w:tblLayout w:type="fixed"/>
          <w:tblCellMar>
            <w:top w:w="0" w:type="dxa"/>
            <w:left w:w="108" w:type="dxa"/>
            <w:bottom w:w="0" w:type="dxa"/>
            <w:right w:w="108" w:type="dxa"/>
          </w:tblCellMar>
        </w:tblPrEx>
        <w:trPr>
          <w:trHeight w:val="90" w:hRule="atLeast"/>
        </w:trPr>
        <w:tc>
          <w:tcPr>
            <w:tcW w:w="648" w:type="dxa"/>
            <w:tcBorders>
              <w:top w:val="single" w:color="auto" w:sz="6" w:space="0"/>
              <w:left w:val="single" w:color="auto" w:sz="6" w:space="0"/>
              <w:bottom w:val="single" w:color="auto" w:sz="6" w:space="0"/>
              <w:right w:val="single" w:color="auto" w:sz="6" w:space="0"/>
            </w:tcBorders>
            <w:vAlign w:val="center"/>
          </w:tcPr>
          <w:p>
            <w:pPr>
              <w:spacing w:line="312" w:lineRule="auto"/>
              <w:jc w:val="center"/>
              <w:rPr>
                <w:rFonts w:ascii="Times New Roman" w:hAnsi="Times New Roman" w:eastAsia="仿宋_GB2312" w:cs="Times New Roman"/>
                <w:spacing w:val="-10"/>
                <w:sz w:val="24"/>
              </w:rPr>
            </w:pPr>
            <w:r>
              <w:rPr>
                <w:rFonts w:hint="eastAsia" w:ascii="Times New Roman" w:hAnsi="Times New Roman" w:eastAsia="仿宋_GB2312" w:cs="Times New Roman"/>
                <w:spacing w:val="-10"/>
                <w:sz w:val="24"/>
              </w:rPr>
              <w:t>7</w:t>
            </w:r>
          </w:p>
        </w:tc>
        <w:tc>
          <w:tcPr>
            <w:tcW w:w="1857"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Times New Roman" w:hAnsi="Times New Roman" w:eastAsia="仿宋_GB2312" w:cs="Times New Roman"/>
                <w:spacing w:val="-10"/>
                <w:sz w:val="24"/>
              </w:rPr>
            </w:pPr>
            <w:r>
              <w:rPr>
                <w:rFonts w:hint="eastAsia" w:ascii="Times New Roman" w:hAnsi="Times New Roman" w:eastAsia="仿宋_GB2312" w:cs="Times New Roman"/>
                <w:spacing w:val="-10"/>
                <w:sz w:val="24"/>
              </w:rPr>
              <w:t>一种</w:t>
            </w:r>
            <w:r>
              <w:rPr>
                <w:rFonts w:ascii="Times New Roman" w:hAnsi="Times New Roman" w:eastAsia="仿宋_GB2312" w:cs="Times New Roman"/>
                <w:spacing w:val="-10"/>
                <w:sz w:val="24"/>
              </w:rPr>
              <w:t>汽车</w:t>
            </w:r>
            <w:r>
              <w:rPr>
                <w:rFonts w:hint="eastAsia" w:ascii="Times New Roman" w:hAnsi="Times New Roman" w:eastAsia="仿宋_GB2312" w:cs="Times New Roman"/>
                <w:spacing w:val="-10"/>
                <w:sz w:val="24"/>
              </w:rPr>
              <w:t>产业工业园区综合污水</w:t>
            </w:r>
            <w:r>
              <w:rPr>
                <w:rFonts w:ascii="Times New Roman" w:hAnsi="Times New Roman" w:eastAsia="仿宋_GB2312" w:cs="Times New Roman"/>
                <w:spacing w:val="-10"/>
                <w:sz w:val="24"/>
              </w:rPr>
              <w:t>处理</w:t>
            </w:r>
            <w:r>
              <w:rPr>
                <w:rFonts w:hint="eastAsia" w:ascii="Times New Roman" w:hAnsi="Times New Roman" w:eastAsia="仿宋_GB2312" w:cs="Times New Roman"/>
                <w:spacing w:val="-10"/>
                <w:sz w:val="24"/>
              </w:rPr>
              <w:t>技术</w:t>
            </w:r>
          </w:p>
        </w:tc>
        <w:tc>
          <w:tcPr>
            <w:tcW w:w="6982"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Times New Roman" w:hAnsi="Times New Roman" w:eastAsia="仿宋_GB2312" w:cs="Times New Roman"/>
                <w:spacing w:val="-10"/>
                <w:sz w:val="24"/>
              </w:rPr>
            </w:pPr>
            <w:r>
              <w:rPr>
                <w:rFonts w:ascii="Times New Roman" w:hAnsi="Times New Roman" w:eastAsia="仿宋_GB2312" w:cs="Times New Roman"/>
                <w:spacing w:val="-10"/>
                <w:sz w:val="24"/>
              </w:rPr>
              <w:t>　　</w:t>
            </w:r>
            <w:r>
              <w:rPr>
                <w:rFonts w:hint="eastAsia" w:ascii="Times New Roman" w:hAnsi="Times New Roman" w:eastAsia="仿宋_GB2312" w:cs="Times New Roman"/>
                <w:spacing w:val="-10"/>
                <w:sz w:val="24"/>
              </w:rPr>
              <w:t>采用“密集多通道无极陶瓷膜过滤+高效厌氧反应器”组合工艺去除废水中的石油类、难降解COD等重要污染物。用立体生态式接触氧化工艺解决工业废水占地面积大去除效率低的问题。利用远程操控系统解决污水站运行管理困难、人员要求高、管理不规范的问题。</w:t>
            </w:r>
          </w:p>
        </w:tc>
        <w:tc>
          <w:tcPr>
            <w:tcW w:w="2037"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Times New Roman" w:hAnsi="Times New Roman" w:eastAsia="仿宋_GB2312" w:cs="Times New Roman"/>
                <w:spacing w:val="-10"/>
                <w:sz w:val="24"/>
              </w:rPr>
            </w:pPr>
            <w:r>
              <w:rPr>
                <w:rFonts w:hint="eastAsia" w:ascii="Times New Roman" w:hAnsi="Times New Roman" w:eastAsia="仿宋_GB2312" w:cs="Times New Roman"/>
                <w:spacing w:val="-10"/>
                <w:sz w:val="24"/>
              </w:rPr>
              <w:t>汽车工业园区污水治理</w:t>
            </w:r>
          </w:p>
        </w:tc>
        <w:tc>
          <w:tcPr>
            <w:tcW w:w="2471"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Times New Roman" w:hAnsi="Times New Roman" w:eastAsia="仿宋_GB2312" w:cs="Times New Roman"/>
                <w:spacing w:val="-10"/>
                <w:sz w:val="24"/>
              </w:rPr>
            </w:pPr>
            <w:r>
              <w:rPr>
                <w:rFonts w:hint="eastAsia" w:ascii="Times New Roman" w:hAnsi="Times New Roman" w:eastAsia="仿宋_GB2312" w:cs="Times New Roman"/>
                <w:spacing w:val="-10"/>
                <w:sz w:val="24"/>
              </w:rPr>
              <w:t>湖北山鼎环境科技股份有限公司</w:t>
            </w:r>
          </w:p>
        </w:tc>
      </w:tr>
      <w:tr>
        <w:tblPrEx>
          <w:tblLayout w:type="fixed"/>
          <w:tblCellMar>
            <w:top w:w="0" w:type="dxa"/>
            <w:left w:w="108" w:type="dxa"/>
            <w:bottom w:w="0" w:type="dxa"/>
            <w:right w:w="108" w:type="dxa"/>
          </w:tblCellMar>
        </w:tblPrEx>
        <w:trPr>
          <w:trHeight w:val="1376" w:hRule="atLeast"/>
        </w:trPr>
        <w:tc>
          <w:tcPr>
            <w:tcW w:w="648" w:type="dxa"/>
            <w:tcBorders>
              <w:top w:val="single" w:color="auto" w:sz="6" w:space="0"/>
              <w:left w:val="single" w:color="auto" w:sz="6" w:space="0"/>
              <w:bottom w:val="single" w:color="auto" w:sz="6" w:space="0"/>
              <w:right w:val="single" w:color="auto" w:sz="6" w:space="0"/>
            </w:tcBorders>
            <w:vAlign w:val="center"/>
          </w:tcPr>
          <w:p>
            <w:pPr>
              <w:spacing w:line="312" w:lineRule="auto"/>
              <w:jc w:val="center"/>
              <w:rPr>
                <w:rFonts w:ascii="Times New Roman" w:hAnsi="Times New Roman" w:eastAsia="仿宋_GB2312" w:cs="Times New Roman"/>
                <w:spacing w:val="-10"/>
                <w:sz w:val="24"/>
              </w:rPr>
            </w:pPr>
            <w:r>
              <w:rPr>
                <w:rFonts w:hint="eastAsia" w:ascii="Times New Roman" w:hAnsi="Times New Roman" w:eastAsia="仿宋_GB2312" w:cs="Times New Roman"/>
                <w:spacing w:val="-10"/>
                <w:sz w:val="24"/>
              </w:rPr>
              <w:t>8</w:t>
            </w:r>
          </w:p>
        </w:tc>
        <w:tc>
          <w:tcPr>
            <w:tcW w:w="1857"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Times New Roman" w:hAnsi="Times New Roman" w:eastAsia="仿宋_GB2312" w:cs="Times New Roman"/>
                <w:spacing w:val="-10"/>
                <w:sz w:val="24"/>
              </w:rPr>
            </w:pPr>
            <w:r>
              <w:rPr>
                <w:rFonts w:hint="eastAsia" w:ascii="Times New Roman" w:hAnsi="Times New Roman" w:eastAsia="仿宋_GB2312" w:cs="Times New Roman"/>
                <w:spacing w:val="-10"/>
                <w:sz w:val="24"/>
              </w:rPr>
              <w:t>餐厨垃沼液处理技术</w:t>
            </w:r>
          </w:p>
        </w:tc>
        <w:tc>
          <w:tcPr>
            <w:tcW w:w="6982" w:type="dxa"/>
            <w:tcBorders>
              <w:top w:val="single" w:color="auto" w:sz="6" w:space="0"/>
              <w:left w:val="single" w:color="auto" w:sz="6" w:space="0"/>
              <w:bottom w:val="single" w:color="auto" w:sz="6" w:space="0"/>
              <w:right w:val="single" w:color="auto" w:sz="6" w:space="0"/>
            </w:tcBorders>
            <w:vAlign w:val="center"/>
          </w:tcPr>
          <w:p>
            <w:pPr>
              <w:spacing w:line="360" w:lineRule="exact"/>
              <w:ind w:firstLine="440" w:firstLineChars="200"/>
              <w:rPr>
                <w:rFonts w:ascii="Times New Roman" w:hAnsi="Times New Roman" w:eastAsia="仿宋_GB2312" w:cs="Times New Roman"/>
                <w:spacing w:val="-10"/>
                <w:sz w:val="24"/>
              </w:rPr>
            </w:pPr>
            <w:r>
              <w:rPr>
                <w:rFonts w:hint="eastAsia" w:ascii="Times New Roman" w:hAnsi="Times New Roman" w:eastAsia="仿宋_GB2312" w:cs="Times New Roman"/>
                <w:spacing w:val="-10"/>
                <w:sz w:val="24"/>
              </w:rPr>
              <w:t>采用叠螺脱水机进行固液分离，利用高效成套沉淀+气浮装置，有效去除悬浮物。通过改良曝气方式去除碳、氮污染物。采用粉末活性炭吸附、强氧化及硝化滤池组合工艺，确保水质达标排放。</w:t>
            </w:r>
          </w:p>
          <w:p>
            <w:pPr>
              <w:spacing w:line="312" w:lineRule="auto"/>
              <w:rPr>
                <w:rFonts w:ascii="Times New Roman" w:hAnsi="Times New Roman" w:eastAsia="仿宋_GB2312" w:cs="Times New Roman"/>
                <w:spacing w:val="-10"/>
                <w:sz w:val="24"/>
              </w:rPr>
            </w:pPr>
          </w:p>
        </w:tc>
        <w:tc>
          <w:tcPr>
            <w:tcW w:w="2037"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Times New Roman" w:hAnsi="Times New Roman" w:eastAsia="仿宋_GB2312" w:cs="Times New Roman"/>
                <w:spacing w:val="-10"/>
                <w:sz w:val="24"/>
              </w:rPr>
            </w:pPr>
            <w:r>
              <w:rPr>
                <w:rFonts w:hint="eastAsia" w:ascii="Times New Roman" w:hAnsi="Times New Roman" w:eastAsia="仿宋_GB2312" w:cs="Times New Roman"/>
                <w:spacing w:val="-10"/>
                <w:sz w:val="24"/>
              </w:rPr>
              <w:t>餐厨垃圾经过厌氧消化后沼液的处理</w:t>
            </w:r>
          </w:p>
        </w:tc>
        <w:tc>
          <w:tcPr>
            <w:tcW w:w="2471"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Times New Roman" w:hAnsi="Times New Roman" w:eastAsia="仿宋_GB2312" w:cs="Times New Roman"/>
                <w:spacing w:val="-10"/>
                <w:sz w:val="24"/>
              </w:rPr>
            </w:pPr>
            <w:r>
              <w:rPr>
                <w:rFonts w:hint="eastAsia" w:ascii="Times New Roman" w:hAnsi="Times New Roman" w:eastAsia="仿宋_GB2312" w:cs="Times New Roman"/>
                <w:spacing w:val="-10"/>
                <w:sz w:val="24"/>
              </w:rPr>
              <w:t>湖北山鼎环境科技股份有限公司</w:t>
            </w:r>
          </w:p>
        </w:tc>
      </w:tr>
      <w:tr>
        <w:tblPrEx>
          <w:tblLayout w:type="fixed"/>
        </w:tblPrEx>
        <w:trPr>
          <w:trHeight w:val="1376" w:hRule="atLeast"/>
        </w:trPr>
        <w:tc>
          <w:tcPr>
            <w:tcW w:w="648" w:type="dxa"/>
            <w:tcBorders>
              <w:top w:val="single" w:color="auto" w:sz="6" w:space="0"/>
              <w:left w:val="single" w:color="auto" w:sz="6" w:space="0"/>
              <w:bottom w:val="single" w:color="auto" w:sz="6" w:space="0"/>
              <w:right w:val="single" w:color="auto" w:sz="6" w:space="0"/>
            </w:tcBorders>
            <w:vAlign w:val="center"/>
          </w:tcPr>
          <w:p>
            <w:pPr>
              <w:spacing w:line="312" w:lineRule="auto"/>
              <w:jc w:val="center"/>
              <w:rPr>
                <w:rFonts w:ascii="Times New Roman" w:hAnsi="Times New Roman" w:eastAsia="仿宋_GB2312" w:cs="Times New Roman"/>
                <w:spacing w:val="-10"/>
                <w:sz w:val="24"/>
              </w:rPr>
            </w:pPr>
            <w:r>
              <w:rPr>
                <w:rFonts w:hint="eastAsia" w:ascii="Times New Roman" w:hAnsi="Times New Roman" w:eastAsia="仿宋_GB2312" w:cs="Times New Roman"/>
                <w:spacing w:val="-10"/>
                <w:sz w:val="24"/>
              </w:rPr>
              <w:t>9</w:t>
            </w:r>
          </w:p>
        </w:tc>
        <w:tc>
          <w:tcPr>
            <w:tcW w:w="1857"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Times New Roman" w:hAnsi="Times New Roman" w:eastAsia="仿宋_GB2312" w:cs="Times New Roman"/>
                <w:spacing w:val="-10"/>
                <w:sz w:val="24"/>
              </w:rPr>
            </w:pPr>
            <w:r>
              <w:rPr>
                <w:rFonts w:hint="eastAsia" w:ascii="Times New Roman" w:hAnsi="Times New Roman" w:eastAsia="仿宋_GB2312" w:cs="Times New Roman"/>
                <w:spacing w:val="-10"/>
                <w:sz w:val="24"/>
              </w:rPr>
              <w:t>养猪污水资源化处理工艺</w:t>
            </w:r>
          </w:p>
        </w:tc>
        <w:tc>
          <w:tcPr>
            <w:tcW w:w="6982" w:type="dxa"/>
            <w:tcBorders>
              <w:top w:val="single" w:color="auto" w:sz="6" w:space="0"/>
              <w:left w:val="single" w:color="auto" w:sz="6" w:space="0"/>
              <w:bottom w:val="single" w:color="auto" w:sz="6" w:space="0"/>
              <w:right w:val="single" w:color="auto" w:sz="6" w:space="0"/>
            </w:tcBorders>
            <w:vAlign w:val="center"/>
          </w:tcPr>
          <w:p>
            <w:pPr>
              <w:pStyle w:val="3"/>
              <w:ind w:firstLine="440" w:firstLineChars="200"/>
              <w:rPr>
                <w:rFonts w:ascii="Times New Roman" w:hAnsi="Times New Roman" w:eastAsia="仿宋_GB2312"/>
                <w:spacing w:val="-10"/>
                <w:sz w:val="24"/>
              </w:rPr>
            </w:pPr>
            <w:r>
              <w:rPr>
                <w:rFonts w:hint="eastAsia" w:ascii="Times New Roman" w:hAnsi="Times New Roman" w:eastAsia="仿宋_GB2312"/>
                <w:spacing w:val="-10"/>
                <w:sz w:val="24"/>
              </w:rPr>
              <w:t>通过新型固液分离+初沉工艺解决进水悬浮物问题；通过可调节UASB+两级AO进水配比，保证硝化反硝化的碳氮比均衡不需要外加碳源；通过大比例回流及溶解氧精准控制，实现部分短程硝化反硝化，降低能耗；采用PLC+上位机实现自动化运行。</w:t>
            </w:r>
          </w:p>
        </w:tc>
        <w:tc>
          <w:tcPr>
            <w:tcW w:w="2037"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Times New Roman" w:hAnsi="Times New Roman" w:eastAsia="仿宋_GB2312" w:cs="Times New Roman"/>
                <w:spacing w:val="-10"/>
                <w:sz w:val="24"/>
              </w:rPr>
            </w:pPr>
            <w:r>
              <w:rPr>
                <w:rFonts w:hint="eastAsia" w:ascii="Times New Roman" w:hAnsi="Times New Roman" w:eastAsia="仿宋_GB2312" w:cs="Times New Roman"/>
                <w:spacing w:val="-10"/>
                <w:sz w:val="24"/>
              </w:rPr>
              <w:t>养猪行业污水治理</w:t>
            </w:r>
          </w:p>
        </w:tc>
        <w:tc>
          <w:tcPr>
            <w:tcW w:w="2471"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Times New Roman" w:hAnsi="Times New Roman" w:eastAsia="仿宋_GB2312" w:cs="Times New Roman"/>
                <w:spacing w:val="-10"/>
                <w:sz w:val="24"/>
              </w:rPr>
            </w:pPr>
            <w:r>
              <w:rPr>
                <w:rFonts w:hint="eastAsia" w:ascii="Times New Roman" w:hAnsi="Times New Roman" w:eastAsia="仿宋_GB2312" w:cs="Times New Roman"/>
                <w:spacing w:val="-10"/>
                <w:sz w:val="24"/>
              </w:rPr>
              <w:t>湖北山鼎环境科技股份有限公司</w:t>
            </w:r>
          </w:p>
        </w:tc>
      </w:tr>
      <w:tr>
        <w:tblPrEx>
          <w:tblLayout w:type="fixed"/>
          <w:tblCellMar>
            <w:top w:w="0" w:type="dxa"/>
            <w:left w:w="108" w:type="dxa"/>
            <w:bottom w:w="0" w:type="dxa"/>
            <w:right w:w="108" w:type="dxa"/>
          </w:tblCellMar>
        </w:tblPrEx>
        <w:trPr>
          <w:trHeight w:val="1417" w:hRule="atLeast"/>
        </w:trPr>
        <w:tc>
          <w:tcPr>
            <w:tcW w:w="648" w:type="dxa"/>
            <w:tcBorders>
              <w:top w:val="single" w:color="auto" w:sz="6" w:space="0"/>
              <w:left w:val="single" w:color="auto" w:sz="6" w:space="0"/>
              <w:bottom w:val="single" w:color="auto" w:sz="6" w:space="0"/>
              <w:right w:val="single" w:color="auto" w:sz="6" w:space="0"/>
            </w:tcBorders>
            <w:vAlign w:val="center"/>
          </w:tcPr>
          <w:p>
            <w:pPr>
              <w:spacing w:line="312" w:lineRule="auto"/>
              <w:jc w:val="center"/>
              <w:rPr>
                <w:rFonts w:ascii="Times New Roman" w:hAnsi="Times New Roman" w:eastAsia="仿宋_GB2312" w:cs="Times New Roman"/>
                <w:spacing w:val="-10"/>
                <w:sz w:val="24"/>
              </w:rPr>
            </w:pPr>
            <w:r>
              <w:rPr>
                <w:rFonts w:hint="eastAsia" w:ascii="Times New Roman" w:hAnsi="Times New Roman" w:eastAsia="仿宋_GB2312" w:cs="Times New Roman"/>
                <w:spacing w:val="-10"/>
                <w:sz w:val="24"/>
              </w:rPr>
              <w:t>10</w:t>
            </w:r>
          </w:p>
        </w:tc>
        <w:tc>
          <w:tcPr>
            <w:tcW w:w="1857"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Times New Roman" w:hAnsi="Times New Roman" w:eastAsia="仿宋_GB2312" w:cs="Times New Roman"/>
                <w:spacing w:val="-10"/>
                <w:sz w:val="24"/>
              </w:rPr>
            </w:pPr>
            <w:r>
              <w:rPr>
                <w:rFonts w:hint="eastAsia" w:ascii="Times New Roman" w:hAnsi="Times New Roman" w:eastAsia="仿宋_GB2312" w:cs="Times New Roman"/>
                <w:spacing w:val="-10"/>
                <w:sz w:val="24"/>
              </w:rPr>
              <w:t>太极湖新区库周坝下蓝藻治理技术</w:t>
            </w:r>
          </w:p>
        </w:tc>
        <w:tc>
          <w:tcPr>
            <w:tcW w:w="6982" w:type="dxa"/>
            <w:tcBorders>
              <w:top w:val="single" w:color="auto" w:sz="6" w:space="0"/>
              <w:left w:val="single" w:color="auto" w:sz="6" w:space="0"/>
              <w:bottom w:val="single" w:color="auto" w:sz="6" w:space="0"/>
              <w:right w:val="single" w:color="auto" w:sz="6" w:space="0"/>
            </w:tcBorders>
            <w:vAlign w:val="center"/>
          </w:tcPr>
          <w:p>
            <w:pPr>
              <w:spacing w:line="312" w:lineRule="auto"/>
              <w:ind w:firstLine="440" w:firstLineChars="200"/>
              <w:rPr>
                <w:rFonts w:ascii="Times New Roman" w:hAnsi="Times New Roman" w:eastAsia="仿宋_GB2312" w:cs="Times New Roman"/>
                <w:spacing w:val="-10"/>
                <w:sz w:val="24"/>
              </w:rPr>
            </w:pPr>
            <w:r>
              <w:rPr>
                <w:rFonts w:hint="eastAsia" w:ascii="Times New Roman" w:hAnsi="Times New Roman" w:eastAsia="仿宋_GB2312" w:cs="Times New Roman"/>
                <w:spacing w:val="-10"/>
                <w:sz w:val="24"/>
              </w:rPr>
              <w:t>在合理控制水力混合条件下，选用密度适宜的复合絮凝剂完成藻类聚集，采用氧化灭藻，再通过EM修复菌的加入实现水生态的自然修复。</w:t>
            </w:r>
          </w:p>
        </w:tc>
        <w:tc>
          <w:tcPr>
            <w:tcW w:w="2037"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Times New Roman" w:hAnsi="Times New Roman" w:eastAsia="仿宋_GB2312" w:cs="Times New Roman"/>
                <w:spacing w:val="-10"/>
                <w:sz w:val="24"/>
              </w:rPr>
            </w:pPr>
            <w:r>
              <w:rPr>
                <w:rFonts w:hint="eastAsia" w:ascii="Times New Roman" w:hAnsi="Times New Roman" w:eastAsia="仿宋_GB2312" w:cs="Times New Roman"/>
                <w:spacing w:val="-10"/>
                <w:sz w:val="24"/>
              </w:rPr>
              <w:t>重度蓝藻现象的水体治理</w:t>
            </w:r>
          </w:p>
        </w:tc>
        <w:tc>
          <w:tcPr>
            <w:tcW w:w="2471"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Times New Roman" w:hAnsi="Times New Roman" w:eastAsia="仿宋_GB2312" w:cs="Times New Roman"/>
                <w:spacing w:val="-10"/>
                <w:sz w:val="24"/>
              </w:rPr>
            </w:pPr>
            <w:r>
              <w:rPr>
                <w:rFonts w:hint="eastAsia" w:ascii="Times New Roman" w:hAnsi="Times New Roman" w:eastAsia="仿宋_GB2312" w:cs="Times New Roman"/>
                <w:spacing w:val="-10"/>
                <w:sz w:val="24"/>
              </w:rPr>
              <w:t>湖北乾德建设工程有限公司</w:t>
            </w:r>
          </w:p>
        </w:tc>
      </w:tr>
      <w:tr>
        <w:tblPrEx>
          <w:tblLayout w:type="fixed"/>
          <w:tblCellMar>
            <w:top w:w="0" w:type="dxa"/>
            <w:left w:w="108" w:type="dxa"/>
            <w:bottom w:w="0" w:type="dxa"/>
            <w:right w:w="108" w:type="dxa"/>
          </w:tblCellMar>
        </w:tblPrEx>
        <w:trPr>
          <w:trHeight w:val="1376" w:hRule="atLeast"/>
        </w:trPr>
        <w:tc>
          <w:tcPr>
            <w:tcW w:w="648" w:type="dxa"/>
            <w:tcBorders>
              <w:top w:val="single" w:color="auto" w:sz="6" w:space="0"/>
              <w:left w:val="single" w:color="auto" w:sz="6" w:space="0"/>
              <w:bottom w:val="single" w:color="auto" w:sz="6" w:space="0"/>
              <w:right w:val="single" w:color="auto" w:sz="6" w:space="0"/>
            </w:tcBorders>
            <w:vAlign w:val="center"/>
          </w:tcPr>
          <w:p>
            <w:pPr>
              <w:spacing w:line="312" w:lineRule="auto"/>
              <w:jc w:val="center"/>
              <w:rPr>
                <w:rFonts w:ascii="Times New Roman" w:hAnsi="Times New Roman" w:eastAsia="仿宋_GB2312" w:cs="Times New Roman"/>
                <w:spacing w:val="-10"/>
                <w:sz w:val="24"/>
              </w:rPr>
            </w:pPr>
            <w:r>
              <w:rPr>
                <w:rFonts w:hint="eastAsia" w:ascii="Times New Roman" w:hAnsi="Times New Roman" w:eastAsia="仿宋_GB2312" w:cs="Times New Roman"/>
                <w:spacing w:val="-10"/>
                <w:sz w:val="24"/>
              </w:rPr>
              <w:t>11</w:t>
            </w:r>
          </w:p>
        </w:tc>
        <w:tc>
          <w:tcPr>
            <w:tcW w:w="1857"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Times New Roman" w:hAnsi="Times New Roman" w:eastAsia="仿宋_GB2312" w:cs="Times New Roman"/>
                <w:spacing w:val="-10"/>
                <w:sz w:val="24"/>
              </w:rPr>
            </w:pPr>
            <w:r>
              <w:rPr>
                <w:rFonts w:hint="eastAsia" w:ascii="Times New Roman" w:hAnsi="Times New Roman" w:eastAsia="仿宋_GB2312" w:cs="Times New Roman"/>
                <w:spacing w:val="-10"/>
                <w:sz w:val="24"/>
              </w:rPr>
              <w:t>基于复合生态廊道（CECS）的养猪废水低费用易管理处理技术</w:t>
            </w:r>
          </w:p>
        </w:tc>
        <w:tc>
          <w:tcPr>
            <w:tcW w:w="6982"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Times New Roman" w:hAnsi="Times New Roman" w:eastAsia="仿宋_GB2312" w:cs="Times New Roman"/>
                <w:spacing w:val="-10"/>
                <w:sz w:val="24"/>
              </w:rPr>
            </w:pPr>
            <w:r>
              <w:rPr>
                <w:rFonts w:ascii="Times New Roman" w:hAnsi="Times New Roman" w:eastAsia="仿宋_GB2312" w:cs="Times New Roman"/>
                <w:spacing w:val="-10"/>
                <w:sz w:val="24"/>
              </w:rPr>
              <w:t>　　</w:t>
            </w:r>
            <w:r>
              <w:rPr>
                <w:rFonts w:hint="eastAsia" w:ascii="Times New Roman" w:hAnsi="Times New Roman" w:eastAsia="仿宋_GB2312" w:cs="Times New Roman"/>
                <w:spacing w:val="-10"/>
                <w:sz w:val="24"/>
              </w:rPr>
              <w:t>通过自制混凝剂将养猪废水进行预处理，采用自制吸附性生态填料梯级处理分离出的废水，并在梯级生态填料池种植凤眼莲等水生植物，吸收污水中的氮、磷等。同时将混凝处理后分离的猪粪固体废物与凤眼莲混合规制有机肥。</w:t>
            </w:r>
          </w:p>
        </w:tc>
        <w:tc>
          <w:tcPr>
            <w:tcW w:w="2037"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Times New Roman" w:hAnsi="Times New Roman" w:eastAsia="仿宋_GB2312" w:cs="Times New Roman"/>
                <w:spacing w:val="-10"/>
                <w:sz w:val="24"/>
              </w:rPr>
            </w:pPr>
            <w:r>
              <w:rPr>
                <w:rFonts w:hint="eastAsia" w:ascii="Times New Roman" w:hAnsi="Times New Roman" w:eastAsia="仿宋_GB2312" w:cs="Times New Roman"/>
                <w:spacing w:val="-10"/>
                <w:sz w:val="24"/>
              </w:rPr>
              <w:t>养猪行业污水治理</w:t>
            </w:r>
          </w:p>
        </w:tc>
        <w:tc>
          <w:tcPr>
            <w:tcW w:w="2471" w:type="dxa"/>
            <w:tcBorders>
              <w:top w:val="single" w:color="auto" w:sz="6" w:space="0"/>
              <w:left w:val="single" w:color="auto" w:sz="6" w:space="0"/>
              <w:bottom w:val="single" w:color="auto" w:sz="6" w:space="0"/>
              <w:right w:val="single" w:color="auto" w:sz="6" w:space="0"/>
            </w:tcBorders>
            <w:vAlign w:val="center"/>
          </w:tcPr>
          <w:p>
            <w:pPr>
              <w:spacing w:line="312" w:lineRule="auto"/>
              <w:rPr>
                <w:rFonts w:ascii="Times New Roman" w:hAnsi="Times New Roman" w:eastAsia="仿宋_GB2312" w:cs="Times New Roman"/>
                <w:spacing w:val="-10"/>
                <w:sz w:val="24"/>
              </w:rPr>
            </w:pPr>
            <w:r>
              <w:rPr>
                <w:rFonts w:hint="eastAsia" w:ascii="Times New Roman" w:hAnsi="Times New Roman" w:eastAsia="仿宋_GB2312" w:cs="Times New Roman"/>
                <w:spacing w:val="-10"/>
                <w:sz w:val="24"/>
              </w:rPr>
              <w:t>十堰市农业生态环境保护站</w:t>
            </w:r>
          </w:p>
        </w:tc>
      </w:tr>
    </w:tbl>
    <w:p>
      <w:pPr>
        <w:rPr>
          <w:rFonts w:ascii="Times New Roman" w:hAnsi="Times New Roman" w:eastAsia="仿宋_GB2312" w:cs="Times New Roman"/>
          <w:spacing w:val="-10"/>
          <w:sz w:val="24"/>
        </w:rPr>
      </w:pPr>
    </w:p>
    <w:p>
      <w:pPr>
        <w:rPr>
          <w:rFonts w:ascii="Times New Roman" w:hAnsi="Times New Roman" w:eastAsia="仿宋_GB2312" w:cs="Times New Roman"/>
          <w:spacing w:val="-10"/>
          <w:sz w:val="24"/>
        </w:rPr>
      </w:pPr>
    </w:p>
    <w:p>
      <w:pPr>
        <w:widowControl/>
        <w:jc w:val="left"/>
        <w:rPr>
          <w:rFonts w:ascii="仿宋" w:hAnsi="仿宋" w:eastAsia="仿宋" w:cs="宋体"/>
          <w:color w:val="333333"/>
          <w:kern w:val="0"/>
          <w:sz w:val="32"/>
          <w:szCs w:val="32"/>
        </w:rPr>
      </w:pPr>
    </w:p>
    <w:sectPr>
      <w:headerReference r:id="rId3" w:type="default"/>
      <w:footerReference r:id="rId4" w:type="default"/>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altName w:val="CXingH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
    <w:altName w:val="永中仿宋"/>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XingHK">
    <w:panose1 w:val="00000600000000000000"/>
    <w:charset w:val="88"/>
    <w:family w:val="auto"/>
    <w:pitch w:val="default"/>
    <w:sig w:usb0="A00002FF" w:usb1="3ACFFD7A" w:usb2="00000016" w:usb3="00000000" w:csb0="00120005" w:csb1="00000000"/>
  </w:font>
  <w:font w:name="DejaVu Sans">
    <w:panose1 w:val="020B0603030804020204"/>
    <w:charset w:val="00"/>
    <w:family w:val="auto"/>
    <w:pitch w:val="default"/>
    <w:sig w:usb0="E7006EFF" w:usb1="D200FDFF" w:usb2="0A246029" w:usb3="0400200C" w:csb0="600001FF" w:csb1="DFFF0000"/>
  </w:font>
  <w:font w:name="?????s??????">
    <w:panose1 w:val="02010609000101010101"/>
    <w:charset w:val="00"/>
    <w:family w:val="auto"/>
    <w:pitch w:val="default"/>
    <w:sig w:usb0="00000000" w:usb1="00000000" w:usb2="00000000" w:usb3="00000000" w:csb0="00000000" w:csb1="00000000"/>
  </w:font>
  <w:font w:name="永中仿宋">
    <w:panose1 w:val="02010600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580"/>
    <w:rsid w:val="000F6F77"/>
    <w:rsid w:val="001C0B84"/>
    <w:rsid w:val="00347E7B"/>
    <w:rsid w:val="003F6056"/>
    <w:rsid w:val="005D4D55"/>
    <w:rsid w:val="005D6257"/>
    <w:rsid w:val="006F299B"/>
    <w:rsid w:val="007921E7"/>
    <w:rsid w:val="00AB1580"/>
    <w:rsid w:val="00C0136D"/>
    <w:rsid w:val="00C56B58"/>
    <w:rsid w:val="00CD53EB"/>
    <w:rsid w:val="00D734AA"/>
    <w:rsid w:val="00E131C8"/>
    <w:rsid w:val="00F616DD"/>
    <w:rsid w:val="3CBF19E6"/>
    <w:rsid w:val="73E7200D"/>
    <w:rsid w:val="976FDE6E"/>
    <w:rsid w:val="AFF62E16"/>
    <w:rsid w:val="DFF75415"/>
    <w:rsid w:val="FFB56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9"/>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10"/>
    <w:qFormat/>
    <w:uiPriority w:val="0"/>
    <w:pPr>
      <w:tabs>
        <w:tab w:val="right" w:leader="dot" w:pos="7980"/>
      </w:tabs>
      <w:spacing w:after="120"/>
    </w:pPr>
    <w:rPr>
      <w:rFonts w:ascii="Calibri" w:hAnsi="Calibri" w:eastAsia="宋体" w:cs="Times New Roman"/>
      <w:szCs w:val="24"/>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标题 4 Char"/>
    <w:basedOn w:val="8"/>
    <w:link w:val="2"/>
    <w:qFormat/>
    <w:uiPriority w:val="9"/>
    <w:rPr>
      <w:rFonts w:ascii="宋体" w:hAnsi="宋体" w:eastAsia="宋体" w:cs="宋体"/>
      <w:b/>
      <w:bCs/>
      <w:kern w:val="0"/>
      <w:sz w:val="24"/>
      <w:szCs w:val="24"/>
    </w:rPr>
  </w:style>
  <w:style w:type="character" w:customStyle="1" w:styleId="10">
    <w:name w:val="正文文本 Char"/>
    <w:basedOn w:val="8"/>
    <w:link w:val="3"/>
    <w:qFormat/>
    <w:uiPriority w:val="0"/>
    <w:rPr>
      <w:rFonts w:ascii="Calibri" w:hAnsi="Calibri" w:eastAsia="宋体" w:cs="Times New Roman"/>
      <w:szCs w:val="24"/>
    </w:r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270</Words>
  <Characters>1542</Characters>
  <Lines>12</Lines>
  <Paragraphs>3</Paragraphs>
  <TotalTime>85</TotalTime>
  <ScaleCrop>false</ScaleCrop>
  <LinksUpToDate>false</LinksUpToDate>
  <CharactersWithSpaces>1809</CharactersWithSpaces>
  <Application>WPS Office_11.1.0.8392_F1E327BC-269C-435d-A152-05C5408002CA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2021-09-08T15:53:00Z</dcterms:created>
  <dc:creator>Administrator</dc:creator>
  <cp:lastModifiedBy>小胖戴夫</cp:lastModifiedBy>
  <dcterms:modified xsi:type="dcterms:W3CDTF">2021-09-14T09:56:41Z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2052-11.1.0.8392</vt:lpwstr>
  </property>
</Properties>
</file>