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cs="Arial"/>
          <w:sz w:val="30"/>
          <w:szCs w:val="30"/>
          <w:lang w:val="en-US" w:eastAsia="zh-CN"/>
        </w:rPr>
      </w:pPr>
      <w:r>
        <w:rPr>
          <w:rFonts w:hint="eastAsia" w:ascii="黑体" w:eastAsia="黑体" w:cs="Arial"/>
          <w:sz w:val="30"/>
          <w:szCs w:val="30"/>
          <w:lang w:val="en-US" w:eastAsia="zh-CN"/>
        </w:rPr>
        <w:t>附：</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第二批</w:t>
      </w:r>
      <w:r>
        <w:rPr>
          <w:rFonts w:hint="eastAsia" w:ascii="方正小标宋简体" w:hAnsi="方正小标宋简体" w:eastAsia="方正小标宋简体" w:cs="方正小标宋简体"/>
          <w:sz w:val="36"/>
          <w:szCs w:val="36"/>
        </w:rPr>
        <w:t>引导性科研项目结题情况一览表</w:t>
      </w:r>
    </w:p>
    <w:tbl>
      <w:tblPr>
        <w:tblStyle w:val="5"/>
        <w:tblW w:w="15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5979"/>
        <w:gridCol w:w="3120"/>
        <w:gridCol w:w="1890"/>
        <w:gridCol w:w="1395"/>
        <w:gridCol w:w="1125"/>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序号</w:t>
            </w:r>
          </w:p>
        </w:tc>
        <w:tc>
          <w:tcPr>
            <w:tcW w:w="5979"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项目名称</w:t>
            </w:r>
          </w:p>
        </w:tc>
        <w:tc>
          <w:tcPr>
            <w:tcW w:w="3120"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承担单位</w:t>
            </w:r>
          </w:p>
        </w:tc>
        <w:tc>
          <w:tcPr>
            <w:tcW w:w="1890"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起止年限</w:t>
            </w:r>
          </w:p>
        </w:tc>
        <w:tc>
          <w:tcPr>
            <w:tcW w:w="1395" w:type="dxa"/>
            <w:noWrap w:val="0"/>
            <w:vAlign w:val="top"/>
          </w:tcPr>
          <w:p>
            <w:pPr>
              <w:jc w:val="center"/>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项目编号</w:t>
            </w:r>
          </w:p>
        </w:tc>
        <w:tc>
          <w:tcPr>
            <w:tcW w:w="1125" w:type="dxa"/>
            <w:noWrap w:val="0"/>
            <w:vAlign w:val="top"/>
          </w:tcPr>
          <w:p>
            <w:pPr>
              <w:jc w:val="center"/>
              <w:rPr>
                <w:rFonts w:hint="default"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承担人</w:t>
            </w:r>
          </w:p>
        </w:tc>
        <w:tc>
          <w:tcPr>
            <w:tcW w:w="1599" w:type="dxa"/>
            <w:noWrap w:val="0"/>
            <w:vAlign w:val="top"/>
          </w:tcPr>
          <w:p>
            <w:pPr>
              <w:jc w:val="center"/>
              <w:rPr>
                <w:rFonts w:hint="default"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center"/>
          </w:tcPr>
          <w:p>
            <w:pPr>
              <w:jc w:val="center"/>
              <w:rPr>
                <w:rFonts w:hint="eastAsia" w:ascii="Times New Roman" w:hAnsi="Times New Roman" w:eastAsia="楷体" w:cs="Times New Roman"/>
                <w:color w:val="auto"/>
                <w:kern w:val="2"/>
                <w:sz w:val="24"/>
                <w:szCs w:val="24"/>
                <w:vertAlign w:val="baseline"/>
                <w:lang w:val="en-US" w:eastAsia="zh-CN" w:bidi="ar-SA"/>
              </w:rPr>
            </w:pPr>
            <w:r>
              <w:rPr>
                <w:rFonts w:hint="eastAsia" w:ascii="Times New Roman" w:hAnsi="Times New Roman" w:eastAsia="楷体" w:cs="Times New Roman"/>
                <w:color w:val="auto"/>
                <w:sz w:val="24"/>
                <w:szCs w:val="24"/>
                <w:vertAlign w:val="baseline"/>
                <w:lang w:val="en-US" w:eastAsia="zh-CN"/>
              </w:rPr>
              <w:t>1</w:t>
            </w:r>
          </w:p>
        </w:tc>
        <w:tc>
          <w:tcPr>
            <w:tcW w:w="5979" w:type="dxa"/>
            <w:noWrap w:val="0"/>
            <w:vAlign w:val="top"/>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β2肾上腺素受体色谱应用于中药活性成分的筛选</w:t>
            </w:r>
          </w:p>
        </w:tc>
        <w:tc>
          <w:tcPr>
            <w:tcW w:w="3120" w:type="dxa"/>
            <w:noWrap w:val="0"/>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湖北医药学院</w:t>
            </w:r>
          </w:p>
        </w:tc>
        <w:tc>
          <w:tcPr>
            <w:tcW w:w="1890" w:type="dxa"/>
            <w:noWrap w:val="0"/>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2017.1—2018.12</w:t>
            </w:r>
          </w:p>
        </w:tc>
        <w:tc>
          <w:tcPr>
            <w:tcW w:w="1395" w:type="dxa"/>
            <w:noWrap w:val="0"/>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17Y05</w:t>
            </w:r>
          </w:p>
        </w:tc>
        <w:tc>
          <w:tcPr>
            <w:tcW w:w="1125" w:type="dxa"/>
            <w:noWrap w:val="0"/>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高小康</w:t>
            </w:r>
          </w:p>
        </w:tc>
        <w:tc>
          <w:tcPr>
            <w:tcW w:w="1599" w:type="dxa"/>
            <w:noWrap w:val="0"/>
            <w:vAlign w:val="center"/>
          </w:tcPr>
          <w:p>
            <w:pPr>
              <w:jc w:val="center"/>
              <w:rPr>
                <w:rFonts w:hint="eastAsia" w:ascii="楷体" w:hAnsi="楷体" w:eastAsia="楷体" w:cs="楷体"/>
                <w:color w:val="0000FF"/>
                <w:kern w:val="2"/>
                <w:sz w:val="30"/>
                <w:szCs w:val="30"/>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2</w:t>
            </w:r>
          </w:p>
        </w:tc>
        <w:tc>
          <w:tcPr>
            <w:tcW w:w="5979" w:type="dxa"/>
            <w:noWrap w:val="0"/>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电针对脊髓损伤后中枢性疼痛模型大鼠脊髓小胶质细胞活性的影响</w:t>
            </w:r>
          </w:p>
        </w:tc>
        <w:tc>
          <w:tcPr>
            <w:tcW w:w="3120"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000000"/>
                <w:sz w:val="24"/>
                <w:szCs w:val="24"/>
                <w:lang w:val="en-US" w:eastAsia="zh-CN"/>
              </w:rPr>
              <w:t>十堰市太和医院</w:t>
            </w:r>
          </w:p>
        </w:tc>
        <w:tc>
          <w:tcPr>
            <w:tcW w:w="1890"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17Y09</w:t>
            </w:r>
          </w:p>
        </w:tc>
        <w:tc>
          <w:tcPr>
            <w:tcW w:w="1125"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冀丽丽</w:t>
            </w:r>
          </w:p>
        </w:tc>
        <w:tc>
          <w:tcPr>
            <w:tcW w:w="1599"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w:t>
            </w:r>
          </w:p>
        </w:tc>
        <w:tc>
          <w:tcPr>
            <w:tcW w:w="5979" w:type="dxa"/>
            <w:noWrap w:val="0"/>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Kindlin-2调控VEGF/VEGFR介导食管癌血管生成的影响及机制研究</w:t>
            </w:r>
          </w:p>
        </w:tc>
        <w:tc>
          <w:tcPr>
            <w:tcW w:w="3120"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十堰市太和医院</w:t>
            </w:r>
          </w:p>
        </w:tc>
        <w:tc>
          <w:tcPr>
            <w:tcW w:w="1890"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17Y12</w:t>
            </w:r>
          </w:p>
        </w:tc>
        <w:tc>
          <w:tcPr>
            <w:tcW w:w="1125"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邱  力</w:t>
            </w:r>
          </w:p>
        </w:tc>
        <w:tc>
          <w:tcPr>
            <w:tcW w:w="1599" w:type="dxa"/>
            <w:noWrap w:val="0"/>
            <w:vAlign w:val="center"/>
          </w:tcPr>
          <w:p>
            <w:pPr>
              <w:jc w:val="center"/>
              <w:rPr>
                <w:rFonts w:hint="eastAsia" w:ascii="Calibri" w:hAnsi="Calibri" w:cs="Arial" w:eastAsiaTheme="minorEastAsia"/>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w:t>
            </w:r>
          </w:p>
        </w:tc>
        <w:tc>
          <w:tcPr>
            <w:tcW w:w="5979" w:type="dxa"/>
            <w:noWrap w:val="0"/>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Masquelet技术联合含富集骨髓间充质干细胞的纳米人工骨治疗大段骨缺损的应用研究</w:t>
            </w:r>
          </w:p>
        </w:tc>
        <w:tc>
          <w:tcPr>
            <w:tcW w:w="3120"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十堰市太和医院</w:t>
            </w:r>
          </w:p>
        </w:tc>
        <w:tc>
          <w:tcPr>
            <w:tcW w:w="1890"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17Y16</w:t>
            </w:r>
          </w:p>
        </w:tc>
        <w:tc>
          <w:tcPr>
            <w:tcW w:w="1125"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刘家国</w:t>
            </w:r>
          </w:p>
        </w:tc>
        <w:tc>
          <w:tcPr>
            <w:tcW w:w="1599"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w:t>
            </w:r>
          </w:p>
        </w:tc>
        <w:tc>
          <w:tcPr>
            <w:tcW w:w="5979" w:type="dxa"/>
            <w:noWrap w:val="0"/>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MiR-30a-5p靶向调控MTDH癌蛋白对乳腺癌干细胞干性特性及上皮间质转换影响的实验研究</w:t>
            </w:r>
          </w:p>
        </w:tc>
        <w:tc>
          <w:tcPr>
            <w:tcW w:w="3120"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十堰市太和医院</w:t>
            </w:r>
          </w:p>
        </w:tc>
        <w:tc>
          <w:tcPr>
            <w:tcW w:w="1890"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17Y17</w:t>
            </w:r>
          </w:p>
        </w:tc>
        <w:tc>
          <w:tcPr>
            <w:tcW w:w="1125"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李文仿</w:t>
            </w:r>
          </w:p>
        </w:tc>
        <w:tc>
          <w:tcPr>
            <w:tcW w:w="1599"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noWrap w:val="0"/>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w:t>
            </w:r>
          </w:p>
        </w:tc>
        <w:tc>
          <w:tcPr>
            <w:tcW w:w="5979" w:type="dxa"/>
            <w:noWrap w:val="0"/>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RGC-32在子宫内膜癌中的作用及机制研究</w:t>
            </w:r>
          </w:p>
        </w:tc>
        <w:tc>
          <w:tcPr>
            <w:tcW w:w="3120"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noWrap w:val="0"/>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17Y24</w:t>
            </w:r>
          </w:p>
        </w:tc>
        <w:tc>
          <w:tcPr>
            <w:tcW w:w="1125"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龚宝兰</w:t>
            </w:r>
          </w:p>
        </w:tc>
        <w:tc>
          <w:tcPr>
            <w:tcW w:w="1599" w:type="dxa"/>
            <w:noWrap w:val="0"/>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盐酸罗沙替丁醋酸酯治疗上消化道出血的循证医学评价及配伍稳定性研究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17Y33</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胡  晓</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8</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STAT3调控E-cadherin、Vimentin在食管鳞癌增殖及转移的相关性研究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17Y35</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王  琰</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9</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TRPC6/Ca/β-catenin通路在TGF-β1促胃癌细胞干性基因表达中的作用及其机制研究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17K72</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贾  佳</w:t>
            </w:r>
          </w:p>
        </w:tc>
        <w:tc>
          <w:tcPr>
            <w:tcW w:w="1599" w:type="dxa"/>
            <w:vAlign w:val="center"/>
          </w:tcPr>
          <w:p>
            <w:pPr>
              <w:jc w:val="center"/>
              <w:rPr>
                <w:rFonts w:hint="eastAsia" w:ascii="楷体" w:hAnsi="楷体" w:eastAsia="楷体" w:cs="楷体"/>
                <w:b/>
                <w:bCs/>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10</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KLF15在子宫内膜异位症相关不孕中的研究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东风汽车公司总医院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17Y42</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黄亚雄</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11</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脑缺血缺氧释放SP诱导神经炎症的作用机制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东风汽车公司总医院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17Y51</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段发兰</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12</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HLA-G基因多态性与动脉粥样硬化的相关性研究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东风汽车公司总医院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17Y55</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许  浩</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13</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pacing w:val="-6"/>
                <w:sz w:val="24"/>
                <w:szCs w:val="24"/>
                <w:lang w:val="en-US" w:eastAsia="zh-CN"/>
              </w:rPr>
              <w:t>成人小主动脉瓣环环上瓣主动脉瓣置换术后临床效果分析</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东风汽车公司总医院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17Y56</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周隆书</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14</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氨磺必利合并小剂量阿立哌唑治疗精神分裂症患者的疗效与安全性</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2017.1—2017.12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17Y60</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王学红</w:t>
            </w:r>
          </w:p>
        </w:tc>
        <w:tc>
          <w:tcPr>
            <w:tcW w:w="1599" w:type="dxa"/>
            <w:vAlign w:val="center"/>
          </w:tcPr>
          <w:p>
            <w:pPr>
              <w:jc w:val="center"/>
              <w:rPr>
                <w:rFonts w:hint="eastAsia" w:cs="Arial" w:asciiTheme="minorHAnsi" w:hAnsiTheme="minorHAnsi" w:eastAsiaTheme="minorEastAsia"/>
                <w:spacing w:val="-6"/>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15</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糖周灵治疗2型糖尿病周围神经性病变的临床研究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17Y61</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黄学军</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16</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survivin基因剪接变体的检测与消化道肿瘤相关性研究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17Y63</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周  波</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17</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IL-4-590C/T、IL-13-1112C/T、IL-4RαQ576R基因多态性与哮喘患儿SIgE水平相关性的研究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17Y64</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李丽丽</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18</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盐酸齐拉西酮片联合复方丹参片治疗难治性精神分裂症的临床应用</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17Y65</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易天军</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19</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二乌通络巴布膏制备工艺及质量标准研究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吴  雪</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20</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替比夫定阻断乙型肝炎母婴传播的疗程及疗效研究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十堰市妇幼保健院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17Y73</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 娟</w:t>
            </w:r>
          </w:p>
        </w:tc>
        <w:tc>
          <w:tcPr>
            <w:tcW w:w="159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21</w:t>
            </w:r>
          </w:p>
        </w:tc>
        <w:tc>
          <w:tcPr>
            <w:tcW w:w="5979" w:type="dxa"/>
            <w:vAlign w:val="center"/>
          </w:tcPr>
          <w:p>
            <w:pPr>
              <w:jc w:val="left"/>
              <w:rPr>
                <w:rFonts w:hint="eastAsia" w:ascii="仿宋" w:hAnsi="仿宋" w:eastAsia="仿宋" w:cs="仿宋"/>
                <w:color w:val="000000"/>
                <w:kern w:val="2"/>
                <w:sz w:val="24"/>
                <w:szCs w:val="24"/>
                <w:lang w:val="en-US" w:eastAsia="zh-CN" w:bidi="ar-SA"/>
              </w:rPr>
            </w:pPr>
            <w:r>
              <w:rPr>
                <w:rFonts w:hint="eastAsia" w:ascii="仿宋" w:hAnsi="仿宋" w:eastAsia="仿宋" w:cs="仿宋"/>
                <w:sz w:val="24"/>
                <w:lang w:val="en-US" w:eastAsia="zh-CN"/>
              </w:rPr>
              <w:t>汽车行业工业场所优先控制的生产性毒物</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十堰市职业病防治院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17Y78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吴  琨</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22</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东风商用车交付物流系统升级模式探索</w:t>
            </w:r>
          </w:p>
        </w:tc>
        <w:tc>
          <w:tcPr>
            <w:tcW w:w="3120" w:type="dxa"/>
            <w:vAlign w:val="center"/>
          </w:tcPr>
          <w:p>
            <w:pPr>
              <w:spacing w:line="240" w:lineRule="atLeast"/>
              <w:jc w:val="center"/>
              <w:rPr>
                <w:rFonts w:hint="eastAsia" w:ascii="仿宋" w:hAnsi="仿宋" w:eastAsia="仿宋" w:cs="仿宋"/>
                <w:color w:val="FF0000"/>
                <w:kern w:val="2"/>
                <w:sz w:val="24"/>
                <w:szCs w:val="24"/>
                <w:vertAlign w:val="baseline"/>
                <w:lang w:val="en-US" w:eastAsia="zh-CN" w:bidi="ar-SA"/>
              </w:rPr>
            </w:pPr>
            <w:r>
              <w:rPr>
                <w:rFonts w:hint="eastAsia" w:ascii="仿宋" w:hAnsi="仿宋" w:eastAsia="仿宋" w:cs="仿宋"/>
                <w:color w:val="auto"/>
                <w:sz w:val="24"/>
                <w:szCs w:val="24"/>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2017.1—2017.6</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17Y79</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王安毅</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23</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关于汽车覆盖件模具锻件镶块分块的研究</w:t>
            </w:r>
          </w:p>
        </w:tc>
        <w:tc>
          <w:tcPr>
            <w:tcW w:w="3120" w:type="dxa"/>
            <w:vAlign w:val="center"/>
          </w:tcPr>
          <w:p>
            <w:pPr>
              <w:jc w:val="center"/>
              <w:rPr>
                <w:rFonts w:hint="eastAsia" w:ascii="楷体" w:hAnsi="楷体" w:eastAsia="楷体" w:cs="楷体"/>
                <w:color w:val="auto"/>
                <w:kern w:val="2"/>
                <w:sz w:val="30"/>
                <w:szCs w:val="30"/>
                <w:vertAlign w:val="baseline"/>
                <w:lang w:val="en-US" w:eastAsia="zh-CN" w:bidi="ar-SA"/>
              </w:rPr>
            </w:pPr>
            <w:r>
              <w:rPr>
                <w:rFonts w:hint="eastAsia" w:ascii="仿宋" w:hAnsi="仿宋" w:eastAsia="仿宋" w:cs="仿宋"/>
                <w:color w:val="auto"/>
                <w:sz w:val="24"/>
                <w:szCs w:val="24"/>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2017.3—2017.12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17Y80</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赵</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寒</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24</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pacing w:val="-6"/>
                <w:sz w:val="24"/>
                <w:szCs w:val="24"/>
              </w:rPr>
              <w:t>基于UG10.0的国产数控系统后置处理构造器研究与应用</w:t>
            </w:r>
          </w:p>
        </w:tc>
        <w:tc>
          <w:tcPr>
            <w:tcW w:w="3120" w:type="dxa"/>
            <w:vAlign w:val="center"/>
          </w:tcPr>
          <w:p>
            <w:pPr>
              <w:jc w:val="center"/>
              <w:rPr>
                <w:rFonts w:hint="eastAsia" w:ascii="仿宋" w:hAnsi="仿宋" w:eastAsia="仿宋" w:cs="仿宋"/>
                <w:color w:val="FF0000"/>
                <w:kern w:val="2"/>
                <w:sz w:val="24"/>
                <w:szCs w:val="24"/>
                <w:lang w:val="en-US" w:eastAsia="zh-CN" w:bidi="ar-SA"/>
              </w:rPr>
            </w:pPr>
            <w:r>
              <w:rPr>
                <w:rFonts w:hint="eastAsia" w:ascii="仿宋" w:hAnsi="仿宋" w:eastAsia="仿宋" w:cs="仿宋"/>
                <w:color w:val="auto"/>
                <w:sz w:val="24"/>
                <w:szCs w:val="24"/>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2017.1—2017.12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17Y81</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潘</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强</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25</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基于数控车床的套类零件自动钻孔装置研究</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2017.7—2017.12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17Y82</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薛嘉鑫</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26</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特殊滑块抽芯机构及模具设计</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2017.1—2017.12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17Y83</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卞</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平</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27</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木通苯乙醇苷B诱导肝癌细胞凋亡的机制研究</w:t>
            </w:r>
          </w:p>
        </w:tc>
        <w:tc>
          <w:tcPr>
            <w:tcW w:w="3120"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18Y01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曾小华</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28</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靶向NLRP3炎症小体的武当道教特色药物筛选及分子药理研究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 xml:space="preserve">湖北医药学院  </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18Y02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余贤军</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29</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一种新型医用防辐射材料的设计及应用研究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18Y03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方文玉</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30</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不同光照条件对虎杖生长影响的研究</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18Y06</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黄</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平</w:t>
            </w:r>
          </w:p>
        </w:tc>
        <w:tc>
          <w:tcPr>
            <w:tcW w:w="1599"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31</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加味补中益气汤对多囊卵巢综合征大鼠卵巢局部胰岛素抵抗的影响</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18Y08</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李成刚</w:t>
            </w:r>
          </w:p>
        </w:tc>
        <w:tc>
          <w:tcPr>
            <w:tcW w:w="1599"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32</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基于CT血管成像指导下胸腹盆部出血性疾病的介入诊治研究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唐先志</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33</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藻蓝蛋白在大鼠离体心脏缺血再灌注损伤中的作用及其机制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陈德森</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34</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葫芦素B 诱导gefitinib 耐药肺癌EGFR 自噬性降解的作用及机制研究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司</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渊</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35</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pacing w:val="-6"/>
                <w:sz w:val="24"/>
              </w:rPr>
              <w:t>生活方式与二甲双胍干预对社区糖尿病前期患者影响的研究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朱树贞</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36</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秦巴山区地道药材连翘基源鉴别及栽培关键技术研究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余世荣</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经颅直流电刺激联合SSRI类药物治疗抑郁症患者认知功能观察及Rs-fMRI研究</w:t>
            </w:r>
          </w:p>
        </w:tc>
        <w:tc>
          <w:tcPr>
            <w:tcW w:w="31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艾春启</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丙泊酚后处理通过抑制小窝蛋白-1的表达改善缺血再灌注疾病诱导的内皮损伤和内皮微粒的释放</w:t>
            </w:r>
          </w:p>
        </w:tc>
        <w:tc>
          <w:tcPr>
            <w:tcW w:w="312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18Y18</w:t>
            </w:r>
          </w:p>
        </w:tc>
        <w:tc>
          <w:tcPr>
            <w:tcW w:w="1125" w:type="dxa"/>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凡</w:t>
            </w:r>
          </w:p>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吕  靖</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39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任务导向性训练对痉挛型脑瘫患儿精细运动功能及生存质量疗效研究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付海城</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基于表面抗原CD73-scFv放射免疫分子影像用于结肠癌干细胞可视化的实验研究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燕</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基于等速表面肌电及H反射检测针刺对脑卒中偏瘫肢体痉挛影响的临床研究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何晓阔</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金茵清热口服液体外抗甲型H1N1流感病毒作用及机制研究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雷</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攀</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GM1调控丙泊酚引起中枢神经系统损伤的机制研究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清</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十二指肠空肠旁路术对2型糖尿病治疗作用及其机制的实验研究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李艳兵</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Shank3敏化DRG神经元诱发骨癌痛的机制研究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阳</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磁性护理在青光眼患者健康管理中的应用研究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刘永丽</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自噬在小鼠心肌梗死心室重塑中的作用机制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王治校</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轴突导向因子Netrin1诱导LTP形成促发骨癌痛的机制研究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徐雪琴</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49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Exosomes对肺癌发生发展的影响和机制的研究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杨</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毅</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50</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十堰地区各级医院耳鼻咽喉科及神经内科医生对眩晕诊治知晓率的调查</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olor w:val="auto"/>
                <w:sz w:val="21"/>
                <w:szCs w:val="21"/>
                <w:vertAlign w:val="baseline"/>
                <w:lang w:val="en-US" w:eastAsia="zh-CN"/>
              </w:rPr>
              <w:t>2018.6—2019.5</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李国义</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基于格林模式的健康干预在炎症性肠病患者自我管理行为中的应用研究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滕敬华</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眼针带针状态下康复训练对脑卒中痉挛期的效应机制分析</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许明军</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MRI T1-ρ联合T2-mapping技术评估姜黄素治疗兔膝骨性关节炎疗效的实验研究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敖</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锋</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miR200c-SOX2负反馈机制对异位子宫内膜细胞干性特征的调节及机制研究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孙志丰</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血清白介素-18、白介素-33和IgE水平与慢性荨麻疹发病机制的研究及临床应用</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孟祖东</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早期跑轮联合针刺对重度颅脑外伤大鼠运动功能及BDNF的影响</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杨</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翊</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CRRT联合新活素在难治性心衰中的有效性及安全性研究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姚玲玲</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同伴教育对于提高炎症性肠病患者服药依从性的研究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吴相焕</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59</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GSTs基因多态性与宫颈癌发生及预后的相关性研究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毅</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以家庭为基础的心脏康复治疗在冠心病PCI术后患者中的应用研究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郑</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艳</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61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两种微创根治术式治疗T1-3N0M0期中下段食管癌前瞻性随机对照研究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江</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海</w:t>
            </w:r>
          </w:p>
        </w:tc>
        <w:tc>
          <w:tcPr>
            <w:tcW w:w="159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门控心肌灌注显像在不良心脏事件预测中的应用研究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朱郧鹤</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sz w:val="24"/>
                <w:szCs w:val="24"/>
                <w:vertAlign w:val="baseline"/>
                <w:lang w:val="en-US" w:eastAsia="zh-CN"/>
              </w:rPr>
            </w:pPr>
          </w:p>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小剂量PDE-5抑制剂联合ATP对糖尿病ED患者血管内皮功能的影响</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王金国</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武当金银花多糖对紫杉醇治疗乳腺癌的增效减毒机制研究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郑</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芳</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间充质干细胞来源的外泌体对脊髓损伤中巨噬细胞极化的调节</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龙</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microRNA异常表达与肝细胞肝癌临床特点和预后相关性的研究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武</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伦</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塞北紫堇提取物对大鼠急性肺损伤治疗作用及机制的研究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黄慧敏</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基于脑微透析研究黄酮成分透过血脑屏障的量效和构效关系</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周青珍</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69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TAM应激MCF-7释放外泌体对巨噬细胞极化的影响</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余</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飞</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帕金森病患者DTI及静息状态下脑功能连接研究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闵</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朋</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甲状旁腺全切术中不同自体移植方式在治疗肾性甲状旁腺功能亢进症的效果分析</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万光俊</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 xml:space="preserve">血栓通含药血清诱导骨髓间充质干细胞成骨分化及 BMP2 表达的研究 </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方志辉</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骨髓间充质干细胞复合藻酸盐凝胶支架治疗兔腰椎间盘退变的研究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唐</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冰</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3.0TMRI在直肠癌冷冻消融术前T分期中的应用</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张志云</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中药神农滋肝益气丸治疗慢性乙型肝炎肝纤维化的临床研究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十堰市中医医院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杨智海</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心力康丸治疗难治性心衰临床研究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十堰市中医医院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李儒文</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77</w:t>
            </w:r>
          </w:p>
        </w:tc>
        <w:tc>
          <w:tcPr>
            <w:tcW w:w="5979" w:type="dxa"/>
            <w:vAlign w:val="center"/>
          </w:tcPr>
          <w:p>
            <w:pPr>
              <w:spacing w:line="280" w:lineRule="exact"/>
              <w:rPr>
                <w:rFonts w:hint="eastAsia" w:ascii="仿宋" w:hAnsi="仿宋" w:eastAsia="仿宋" w:cs="仿宋"/>
                <w:color w:val="000000"/>
                <w:kern w:val="2"/>
                <w:sz w:val="24"/>
                <w:szCs w:val="22"/>
                <w:lang w:val="en-US" w:eastAsia="zh-CN" w:bidi="ar-SA"/>
              </w:rPr>
            </w:pPr>
            <w:r>
              <w:rPr>
                <w:rFonts w:hint="eastAsia" w:ascii="仿宋" w:hAnsi="仿宋" w:eastAsia="仿宋" w:cs="仿宋"/>
                <w:sz w:val="24"/>
              </w:rPr>
              <w:t>社区50岁以上居民大肠癌筛查</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国药东风花果医院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王万民</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78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分娩时孕妇精神心理状态及影响的临床研究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十堰市妇幼保健院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18Y110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明</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eastAsia" w:ascii="Times New Roman" w:hAnsi="Times New Roman" w:cs="Times New Roman" w:eastAsiaTheme="minorEastAsia"/>
                <w:color w:val="C00000"/>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79</w:t>
            </w:r>
            <w:r>
              <w:rPr>
                <w:rFonts w:hint="eastAsia" w:ascii="Times New Roman" w:hAnsi="Times New Roman" w:cs="Times New Roman"/>
                <w:color w:val="C00000"/>
                <w:sz w:val="24"/>
                <w:szCs w:val="24"/>
                <w:vertAlign w:val="baseline"/>
                <w:lang w:val="en-US" w:eastAsia="zh-CN"/>
              </w:rPr>
              <w:t xml:space="preserve"> </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血浆RAAS变化在Graves甲亢合并低钾型周期性瘫痪高危人群中临床应用研究</w:t>
            </w:r>
          </w:p>
        </w:tc>
        <w:tc>
          <w:tcPr>
            <w:tcW w:w="3120" w:type="dxa"/>
            <w:vAlign w:val="center"/>
          </w:tcPr>
          <w:p>
            <w:pPr>
              <w:spacing w:line="28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丹江口市第一医院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18Y113</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高玉宝</w:t>
            </w:r>
          </w:p>
        </w:tc>
        <w:tc>
          <w:tcPr>
            <w:tcW w:w="1599" w:type="dxa"/>
            <w:vAlign w:val="center"/>
          </w:tcPr>
          <w:p>
            <w:pPr>
              <w:jc w:val="center"/>
              <w:rPr>
                <w:rFonts w:hint="default" w:asciiTheme="minorHAnsi" w:hAnsiTheme="minorHAnsi" w:eastAsiaTheme="minorEastAsia" w:cstheme="minorBidi"/>
                <w:color w:val="auto"/>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color w:val="auto"/>
                <w:kern w:val="2"/>
                <w:sz w:val="24"/>
                <w:szCs w:val="24"/>
                <w:vertAlign w:val="baseline"/>
                <w:lang w:val="en-US" w:eastAsia="zh-CN" w:bidi="ar-SA"/>
              </w:rPr>
            </w:pPr>
            <w:r>
              <w:rPr>
                <w:rFonts w:hint="eastAsia" w:ascii="Times New Roman" w:hAnsi="Times New Roman" w:cs="Times New Roman"/>
                <w:color w:val="auto"/>
                <w:sz w:val="24"/>
                <w:szCs w:val="24"/>
                <w:vertAlign w:val="baseline"/>
                <w:lang w:val="en-US" w:eastAsia="zh-CN"/>
              </w:rPr>
              <w:t>80</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床旁血液灌流治疗在重度中毒患者中的应用</w:t>
            </w:r>
          </w:p>
        </w:tc>
        <w:tc>
          <w:tcPr>
            <w:tcW w:w="3120" w:type="dxa"/>
            <w:vAlign w:val="center"/>
          </w:tcPr>
          <w:p>
            <w:pPr>
              <w:spacing w:line="28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竹溪县人民医院</w:t>
            </w:r>
          </w:p>
        </w:tc>
        <w:tc>
          <w:tcPr>
            <w:tcW w:w="1890" w:type="dxa"/>
            <w:vAlign w:val="center"/>
          </w:tcPr>
          <w:p>
            <w:pPr>
              <w:jc w:val="center"/>
              <w:rPr>
                <w:rFonts w:hint="eastAsia" w:ascii="Calibri" w:hAnsi="Calibri" w:cs="Arial"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18Y118</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杜</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博</w:t>
            </w:r>
          </w:p>
        </w:tc>
        <w:tc>
          <w:tcPr>
            <w:tcW w:w="1599"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81</w:t>
            </w:r>
          </w:p>
        </w:tc>
        <w:tc>
          <w:tcPr>
            <w:tcW w:w="5979" w:type="dxa"/>
            <w:vAlign w:val="center"/>
          </w:tcPr>
          <w:p>
            <w:pPr>
              <w:spacing w:line="28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一种汽车大梁试制用焊接反变形夹具的研究开发与应用</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2018.5—2019.5</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18Y123</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潘</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强</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82</w:t>
            </w:r>
          </w:p>
        </w:tc>
        <w:tc>
          <w:tcPr>
            <w:tcW w:w="5979" w:type="dxa"/>
            <w:vAlign w:val="center"/>
          </w:tcPr>
          <w:p>
            <w:pPr>
              <w:spacing w:line="28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DDi13发动机机油收集器总成研发</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房县诚信汽配有限责任公司</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2018.1—2018.12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18Y125</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丁章均</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sz w:val="24"/>
                <w:szCs w:val="24"/>
                <w:vertAlign w:val="baseline"/>
                <w:lang w:val="en-US" w:eastAsia="zh-CN"/>
              </w:rPr>
              <w:t>83</w:t>
            </w:r>
          </w:p>
        </w:tc>
        <w:tc>
          <w:tcPr>
            <w:tcW w:w="5979" w:type="dxa"/>
            <w:vAlign w:val="center"/>
          </w:tcPr>
          <w:p>
            <w:pPr>
              <w:jc w:val="both"/>
              <w:rPr>
                <w:rFonts w:hint="eastAsia" w:ascii="仿宋_GB2312" w:eastAsia="仿宋_GB2312" w:cs="FangSong_GB2312" w:hAnsiTheme="minorHAnsi"/>
                <w:kern w:val="2"/>
                <w:sz w:val="24"/>
                <w:szCs w:val="24"/>
                <w:lang w:val="en-US" w:eastAsia="zh-CN" w:bidi="ar-SA"/>
              </w:rPr>
            </w:pPr>
            <w:r>
              <w:rPr>
                <w:rFonts w:hint="eastAsia" w:ascii="仿宋_GB2312" w:eastAsia="仿宋_GB2312"/>
                <w:color w:val="000000"/>
                <w:spacing w:val="-4"/>
                <w:sz w:val="24"/>
              </w:rPr>
              <w:t>鼻内镱下治疗鼻出血的临床研究</w:t>
            </w:r>
          </w:p>
        </w:tc>
        <w:tc>
          <w:tcPr>
            <w:tcW w:w="3120" w:type="dxa"/>
            <w:vAlign w:val="center"/>
          </w:tcPr>
          <w:p>
            <w:pPr>
              <w:spacing w:line="320" w:lineRule="exact"/>
              <w:jc w:val="center"/>
              <w:rPr>
                <w:rFonts w:hint="eastAsia" w:ascii="仿宋_GB2312" w:eastAsia="仿宋_GB2312" w:cs="FangSong_GB2312" w:hAnsiTheme="minorHAnsi"/>
                <w:color w:val="000000"/>
                <w:kern w:val="2"/>
                <w:sz w:val="24"/>
                <w:szCs w:val="24"/>
                <w:lang w:val="en-US" w:eastAsia="zh-CN" w:bidi="ar-SA"/>
              </w:rPr>
            </w:pPr>
            <w:r>
              <w:rPr>
                <w:rFonts w:hint="eastAsia" w:ascii="仿宋_GB2312" w:eastAsia="仿宋_GB2312"/>
                <w:color w:val="000000"/>
                <w:spacing w:val="-20"/>
                <w:sz w:val="24"/>
              </w:rPr>
              <w:t>竹溪县人民医院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19Y123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吴良成</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84</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汽车座椅及头枕半自动三工位试验机</w:t>
            </w:r>
          </w:p>
        </w:tc>
        <w:tc>
          <w:tcPr>
            <w:tcW w:w="3120"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十堰市产品质量监督检验所</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2019.1—2019.12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19Y127</w:t>
            </w:r>
          </w:p>
        </w:tc>
        <w:tc>
          <w:tcPr>
            <w:tcW w:w="1125" w:type="dxa"/>
            <w:vAlign w:val="center"/>
          </w:tcPr>
          <w:p>
            <w:pPr>
              <w:spacing w:line="300" w:lineRule="exact"/>
              <w:jc w:val="center"/>
              <w:rPr>
                <w:rFonts w:hint="eastAsia" w:ascii="仿宋" w:hAnsi="仿宋" w:eastAsia="仿宋" w:cs="仿宋"/>
                <w:color w:val="FF0000"/>
                <w:kern w:val="2"/>
                <w:sz w:val="24"/>
                <w:szCs w:val="24"/>
                <w:lang w:val="en-US" w:eastAsia="zh-CN" w:bidi="ar-SA"/>
              </w:rPr>
            </w:pPr>
            <w:r>
              <w:rPr>
                <w:rFonts w:hint="eastAsia" w:ascii="仿宋_GB2312" w:eastAsia="仿宋_GB2312" w:cs="FangSong_GB2312"/>
                <w:sz w:val="24"/>
                <w:lang w:bidi="ar-SA"/>
              </w:rPr>
              <w:t>刘传龙</w:t>
            </w:r>
          </w:p>
        </w:tc>
        <w:tc>
          <w:tcPr>
            <w:tcW w:w="1599" w:type="dxa"/>
            <w:vAlign w:val="center"/>
          </w:tcPr>
          <w:p>
            <w:pPr>
              <w:spacing w:line="300" w:lineRule="exact"/>
              <w:jc w:val="center"/>
              <w:rPr>
                <w:rFonts w:hint="eastAsia" w:ascii="仿宋_GB2312" w:eastAsia="仿宋_GB2312" w:cs="FangSong_GB2312" w:hAnsiTheme="minorHAnsi"/>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85</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基于CAE分析的特殊脱模机构模具结构设计</w:t>
            </w:r>
          </w:p>
        </w:tc>
        <w:tc>
          <w:tcPr>
            <w:tcW w:w="3120"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2019.1—2019.12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19Y129</w:t>
            </w:r>
          </w:p>
        </w:tc>
        <w:tc>
          <w:tcPr>
            <w:tcW w:w="1125" w:type="dxa"/>
            <w:vAlign w:val="center"/>
          </w:tcPr>
          <w:p>
            <w:pPr>
              <w:spacing w:line="300" w:lineRule="exact"/>
              <w:jc w:val="center"/>
              <w:rPr>
                <w:rFonts w:hint="eastAsia" w:ascii="仿宋" w:hAnsi="仿宋" w:eastAsia="仿宋" w:cs="仿宋"/>
                <w:color w:val="FF0000"/>
                <w:kern w:val="2"/>
                <w:sz w:val="24"/>
                <w:szCs w:val="24"/>
                <w:lang w:val="en-US" w:eastAsia="zh-CN" w:bidi="ar-SA"/>
              </w:rPr>
            </w:pPr>
            <w:r>
              <w:rPr>
                <w:rFonts w:hint="eastAsia" w:ascii="仿宋_GB2312" w:eastAsia="仿宋_GB2312" w:cs="FangSong_GB2312"/>
                <w:sz w:val="24"/>
                <w:lang w:bidi="ar-SA"/>
              </w:rPr>
              <w:t>卞</w:t>
            </w:r>
            <w:r>
              <w:rPr>
                <w:rFonts w:hint="eastAsia" w:ascii="仿宋_GB2312" w:eastAsia="仿宋_GB2312" w:cs="FangSong_GB2312"/>
                <w:sz w:val="24"/>
                <w:lang w:val="en-US" w:eastAsia="zh-CN" w:bidi="ar-SA"/>
              </w:rPr>
              <w:t xml:space="preserve">  </w:t>
            </w:r>
            <w:r>
              <w:rPr>
                <w:rFonts w:hint="eastAsia" w:ascii="仿宋_GB2312" w:eastAsia="仿宋_GB2312" w:cs="FangSong_GB2312"/>
                <w:sz w:val="24"/>
                <w:lang w:bidi="ar-SA"/>
              </w:rPr>
              <w:t>平</w:t>
            </w:r>
          </w:p>
        </w:tc>
        <w:tc>
          <w:tcPr>
            <w:tcW w:w="1599" w:type="dxa"/>
            <w:vAlign w:val="center"/>
          </w:tcPr>
          <w:p>
            <w:pPr>
              <w:spacing w:line="300" w:lineRule="exact"/>
              <w:jc w:val="center"/>
              <w:rPr>
                <w:rFonts w:hint="eastAsia" w:ascii="仿宋_GB2312" w:eastAsia="仿宋_GB2312" w:cs="FangSong_GB2312" w:hAnsiTheme="minorHAnsi"/>
                <w:kern w:val="2"/>
                <w:sz w:val="24"/>
                <w:szCs w:val="24"/>
                <w:lang w:val="en-US" w:eastAsia="zh-CN" w:bidi="ar-SA"/>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86</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《汽车发动机电控硅油风扇离合器技术条件》的编制</w:t>
            </w:r>
          </w:p>
        </w:tc>
        <w:tc>
          <w:tcPr>
            <w:tcW w:w="3120"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湖北工业职业技术学院</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2019.3—2019.12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19Y131</w:t>
            </w:r>
          </w:p>
        </w:tc>
        <w:tc>
          <w:tcPr>
            <w:tcW w:w="1125" w:type="dxa"/>
            <w:vAlign w:val="center"/>
          </w:tcPr>
          <w:p>
            <w:pPr>
              <w:jc w:val="center"/>
              <w:rPr>
                <w:rFonts w:hint="eastAsia" w:ascii="仿宋" w:hAnsi="仿宋" w:eastAsia="仿宋" w:cs="仿宋"/>
                <w:color w:val="FF0000"/>
                <w:kern w:val="2"/>
                <w:sz w:val="24"/>
                <w:szCs w:val="24"/>
                <w:lang w:val="en-US" w:eastAsia="zh-CN" w:bidi="ar-SA"/>
              </w:rPr>
            </w:pPr>
            <w:r>
              <w:rPr>
                <w:rFonts w:hint="eastAsia" w:ascii="仿宋_GB2312" w:eastAsia="仿宋_GB2312" w:cs="FangSong_GB2312"/>
                <w:sz w:val="24"/>
                <w:lang w:val="en-US" w:eastAsia="zh-CN" w:bidi="ar-SA"/>
              </w:rPr>
              <w:t>于</w:t>
            </w:r>
            <w:r>
              <w:rPr>
                <w:rFonts w:hint="eastAsia" w:ascii="仿宋_GB2312" w:eastAsia="仿宋_GB2312" w:cs="FangSong_GB2312"/>
                <w:sz w:val="24"/>
                <w:lang w:bidi="ar-SA"/>
              </w:rPr>
              <w:t>燕玲</w:t>
            </w:r>
          </w:p>
        </w:tc>
        <w:tc>
          <w:tcPr>
            <w:tcW w:w="1599" w:type="dxa"/>
            <w:vAlign w:val="center"/>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结题通过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87</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雷公藤红素通过抑制炎症反应缓解幼鼠细菌性脑膜炎的研究</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18Y04</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翠</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88</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男性不育人群不同生物群解脲支原体对精子质量的影响及其机制研究</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18Y05</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康照鹏</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89</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南水北调水源区农村居民营养状况调查</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18Y07</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邓</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斐</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90</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帕金森病与肠源性内毒素的相关性研究及治疗</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18Y10</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陈</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森</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91</w:t>
            </w:r>
          </w:p>
        </w:tc>
        <w:tc>
          <w:tcPr>
            <w:tcW w:w="5979" w:type="dxa"/>
            <w:vAlign w:val="center"/>
          </w:tcPr>
          <w:p>
            <w:pPr>
              <w:spacing w:line="30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补肾化瘀方对成骨细胞的作用及ENaC影响机制的研究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湖北医药学院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豪</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脐血干细胞治疗儿童脑瘫的有效性、安全性研究及机制探讨</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顾教伟</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Caprin-1在胶质瘤发生发展中的作用及其分子机制的研究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桂</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卉</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pacing w:val="-6"/>
                <w:sz w:val="24"/>
              </w:rPr>
              <w:t>IGFBP7-GFP外泌体对恶性黑素瘤A375细胞抑瘤能力的影响</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景海霞</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MALAT1介导miR-363靶向CCR9调控T细胞功能参与移植排斥反应机制研究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杰</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支气管肺发育不良中YAP的表达及YAP与VEGF关系的研究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18Y28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涛</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基因治疗LHON与轴浆转运的关系</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朕</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SOCS3在食管癌生长和转移中的作用及机制研究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吴</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珍</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99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慢病毒介导的 GMSCs 抑制舌鳞癌生长的机制探索</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夏凌云</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 xml:space="preserve">基于磁性护理的标准化护理沟通体系的构建 ——以十堰市某三甲医院为例  </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余可斐</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基于失效模式与效应分析的老年患者跌倒防护体系构建与应用研究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18Y39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詹</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艳</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抗炎症反应Nrf2通路与小胶质细胞侵袭参与特发性震颤发病机制的研究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邹</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利</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多学科强化干预对大型团体体检中亚健康人群的健康管理及效果监测</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左金梅</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尾加压素II对血管外膜氧化应激的影响及机制研究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党书毅</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分子影像活体监测移植干细胞治疗脑瘫的功能变化及机制探讨的实验研究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十堰市太和医院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宋亚峰</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不同血管活性药物对老年脓毒症患者肠内营养安全性和有效性研究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杰</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鄂西北及周边地区汉族人群牙周炎与CCL5基因多态性的关联研究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18Y49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胡图强</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U251细胞内LPS抑制NR4A1表达的分子机制研究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余绪明</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109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大黄联合早期结肠透析在治疗高脂血症性急性胰腺炎的临床研究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琦</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电针改善脑梗死大鼠学习记忆功能的作用机制研究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刚</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小檗碱上调NR4A1抗LPS诱导的炎症的机制研究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佳</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绿原酸对肠道病毒71型感染致中枢神经系统损伤过程中TLR3通路的干预作用机制研究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18Y59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娜</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十堰地区多重耐药铜绿假单胞菌相关耐药基因检测及分析</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潘云军</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低氧诱导的自噬对肺动脉血管平滑肌细胞表型的影响</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邓吉坤</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冠状动脉CT血管成像联合超声三维斑点追踪技术在心肌缺血中的应用研究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李</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胜</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老年人居家护理用床的研制和应用</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黎世</w:t>
            </w:r>
            <w:r>
              <w:rPr>
                <w:rFonts w:hint="eastAsia" w:ascii="仿宋" w:hAnsi="仿宋" w:eastAsia="仿宋" w:cs="仿宋"/>
                <w:color w:val="000000"/>
                <w:sz w:val="24"/>
                <w:lang w:val="en-US" w:eastAsia="zh-CN"/>
              </w:rPr>
              <w:t>琴</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移动医疗+大数据在十堰市糖尿病管理中应用</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18Y68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丁洪成</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基于化学模式识别法对鄂西北地区柴胡属药材进行品质评价及亲缘关系研究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rPr>
              <w:t>十堰市人民医院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娟</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119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利尿合剂快速高通量检测体系的建立与临床应用</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方宝霞</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120</w:t>
            </w:r>
          </w:p>
        </w:tc>
        <w:tc>
          <w:tcPr>
            <w:tcW w:w="5979" w:type="dxa"/>
            <w:vAlign w:val="center"/>
          </w:tcPr>
          <w:p>
            <w:pPr>
              <w:spacing w:line="28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羟基喜树碱戊二酸单酯对肝癌HepG2细胞 作用机制研究</w:t>
            </w:r>
          </w:p>
        </w:tc>
        <w:tc>
          <w:tcPr>
            <w:tcW w:w="3120" w:type="dxa"/>
            <w:vAlign w:val="center"/>
          </w:tcPr>
          <w:p>
            <w:pPr>
              <w:spacing w:line="28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王红梅</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TNF特异性单克隆抗体治疗鼠坐骨神经痛的研究及应用</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林</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右美托咪啶对慢性神经病理性大鼠的镇痛机制研究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18Y81</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向小卫</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123</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microRNA-181a在急性损伤后脊髓凋亡细胞中的表达及功能</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18Y83</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宁</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头花千金藤碱逆转鼻咽癌化疗耐药的体内实验研究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戢太阳</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关节腔注射用青藤碱缓释凝胶剂的研究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刘慧敏</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替考拉宁在儿童MRSA给药方案的优化研究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黄麟杰</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NGB修饰促进间充质干细胞分化改善脊髓损伤的作用及机制研究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云</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128</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CT技术结合3D打印与实体之间的误差原因分析</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18Y89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张旭辉</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129</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PDCD4通过自噬逆转乳腺癌阿霉素耐药的作用研究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18Y90</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杨</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勇</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GYY4137在肾癌中调控Na+-K+-ATPase活性分子对凋亡和增殖的机制研究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刘卫华</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131</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血栓形成相关分子标志物在十堰地区中老年高危人群早期筛查中的应用</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18Y95</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艳</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132</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丹参川芎嗪注射液对慢性肺源性心脏患者D－二聚体、N端脑钠肽及肌钙蛋白的影响</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十堰市中医医院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18Y98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余礼军</w:t>
            </w:r>
          </w:p>
        </w:tc>
        <w:tc>
          <w:tcPr>
            <w:tcW w:w="1599"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133</w:t>
            </w:r>
          </w:p>
        </w:tc>
        <w:tc>
          <w:tcPr>
            <w:tcW w:w="5979" w:type="dxa"/>
            <w:vAlign w:val="center"/>
          </w:tcPr>
          <w:p>
            <w:pPr>
              <w:spacing w:line="280" w:lineRule="exact"/>
              <w:rPr>
                <w:rFonts w:hint="eastAsia" w:ascii="仿宋" w:hAnsi="仿宋" w:eastAsia="仿宋" w:cs="仿宋"/>
                <w:color w:val="000000"/>
                <w:kern w:val="2"/>
                <w:sz w:val="24"/>
                <w:szCs w:val="22"/>
                <w:lang w:val="en-US" w:eastAsia="zh-CN" w:bidi="ar-SA"/>
              </w:rPr>
            </w:pPr>
            <w:r>
              <w:rPr>
                <w:rFonts w:hint="eastAsia" w:ascii="仿宋" w:hAnsi="仿宋" w:eastAsia="仿宋" w:cs="仿宋"/>
                <w:sz w:val="24"/>
              </w:rPr>
              <w:t>基于代谢组学对半夏抗哮喘物质药效基础研究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国药东风花果医院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伟</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134</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奥马哈问题分类系统在初产妇延续护理需求中的应用研究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十堰市妇幼保健院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18Y106</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王艳秋</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135</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前次剖宫产再次妊娠分娩方式相关因素调查</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十堰市妇幼保健院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18Y107</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周保锋</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136</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高流量湿化氧疗用于新生儿拔管后呼吸支持的研究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十堰市妇幼保健院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18Y108</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何焱志</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137</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助产士门诊宣教与降低会阴侧切率的相关性研究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十堰市妇幼保健院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张昌清</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138</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包干追踪管理在县级血液透析中心的应用研究</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郧西县人民医院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18Y116</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袁申平</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139</w:t>
            </w:r>
          </w:p>
        </w:tc>
        <w:tc>
          <w:tcPr>
            <w:tcW w:w="5979" w:type="dxa"/>
            <w:vAlign w:val="center"/>
          </w:tcPr>
          <w:p>
            <w:pPr>
              <w:jc w:val="both"/>
              <w:rPr>
                <w:rFonts w:hint="eastAsia" w:ascii="仿宋" w:hAnsi="仿宋" w:eastAsia="仿宋" w:cs="仿宋"/>
                <w:color w:val="auto"/>
                <w:kern w:val="2"/>
                <w:sz w:val="24"/>
                <w:szCs w:val="24"/>
                <w:lang w:val="en-US" w:eastAsia="zh-CN" w:bidi="ar-SA"/>
              </w:rPr>
            </w:pPr>
            <w:r>
              <w:rPr>
                <w:rFonts w:hint="eastAsia" w:ascii="仿宋_GB2312" w:eastAsia="仿宋_GB2312" w:cs="FangSong_GB2312"/>
                <w:color w:val="auto"/>
                <w:sz w:val="24"/>
                <w:lang w:bidi="ar-SA"/>
              </w:rPr>
              <w:t>右美托咪定通过组蛋白去乙酰化介导Wnt/β-catein通路上调BDNF蛋白表达抑制七氟烷暴露后未成熟脑损伤的研究</w:t>
            </w:r>
          </w:p>
        </w:tc>
        <w:tc>
          <w:tcPr>
            <w:tcW w:w="3120" w:type="dxa"/>
            <w:vAlign w:val="center"/>
          </w:tcPr>
          <w:p>
            <w:pPr>
              <w:spacing w:line="32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color w:val="auto"/>
                <w:sz w:val="24"/>
                <w:lang w:bidi="ar-SA"/>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19Y12</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李</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清</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140</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_GB2312" w:eastAsia="仿宋_GB2312" w:cs="FangSong_GB2312"/>
                <w:sz w:val="24"/>
                <w:lang w:bidi="ar-SA"/>
              </w:rPr>
              <w:t>柴胡皂苷治疗非酒精性脂肪性肝炎的作用机制研究</w:t>
            </w:r>
          </w:p>
        </w:tc>
        <w:tc>
          <w:tcPr>
            <w:tcW w:w="3120" w:type="dxa"/>
            <w:vAlign w:val="center"/>
          </w:tcPr>
          <w:p>
            <w:pPr>
              <w:spacing w:line="320" w:lineRule="exact"/>
              <w:jc w:val="center"/>
              <w:rPr>
                <w:rFonts w:hint="eastAsia" w:ascii="仿宋" w:hAnsi="仿宋" w:eastAsia="仿宋" w:cs="仿宋"/>
                <w:color w:val="000000"/>
                <w:kern w:val="2"/>
                <w:sz w:val="24"/>
                <w:szCs w:val="24"/>
                <w:lang w:val="en-US" w:eastAsia="zh-CN" w:bidi="ar-SA"/>
              </w:rPr>
            </w:pPr>
            <w:r>
              <w:rPr>
                <w:rFonts w:hint="eastAsia" w:ascii="仿宋_GB2312" w:eastAsia="仿宋_GB2312" w:cs="FangSong_GB2312"/>
                <w:color w:val="000000"/>
                <w:sz w:val="24"/>
                <w:lang w:bidi="ar-SA"/>
              </w:rPr>
              <w:t>湖北医药学院</w:t>
            </w:r>
          </w:p>
        </w:tc>
        <w:tc>
          <w:tcPr>
            <w:tcW w:w="1890" w:type="dxa"/>
            <w:vAlign w:val="center"/>
          </w:tcPr>
          <w:p>
            <w:pPr>
              <w:jc w:val="center"/>
              <w:rPr>
                <w:rFonts w:hint="eastAsia" w:ascii="Calibri" w:hAnsi="Calibri" w:cs="Arial" w:eastAsiaTheme="minorEastAsia"/>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19Y24</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刘泽干</w:t>
            </w:r>
          </w:p>
        </w:tc>
        <w:tc>
          <w:tcPr>
            <w:tcW w:w="1599" w:type="dxa"/>
            <w:vAlign w:val="center"/>
          </w:tcPr>
          <w:p>
            <w:pPr>
              <w:spacing w:line="300" w:lineRule="exact"/>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延期2020.10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141</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汽车座椅试验台的可调节固定装置</w:t>
            </w:r>
          </w:p>
        </w:tc>
        <w:tc>
          <w:tcPr>
            <w:tcW w:w="3120"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十堰市产品质量监督检验所</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2019.3—2019.12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19Y126</w:t>
            </w:r>
          </w:p>
        </w:tc>
        <w:tc>
          <w:tcPr>
            <w:tcW w:w="1125" w:type="dxa"/>
            <w:vAlign w:val="center"/>
          </w:tcPr>
          <w:p>
            <w:pPr>
              <w:spacing w:line="300" w:lineRule="exact"/>
              <w:jc w:val="center"/>
              <w:rPr>
                <w:rFonts w:hint="eastAsia" w:ascii="仿宋" w:hAnsi="仿宋" w:eastAsia="仿宋" w:cs="仿宋"/>
                <w:color w:val="FF0000"/>
                <w:kern w:val="2"/>
                <w:sz w:val="24"/>
                <w:szCs w:val="24"/>
                <w:lang w:val="en-US" w:eastAsia="zh-CN" w:bidi="ar-SA"/>
              </w:rPr>
            </w:pPr>
            <w:r>
              <w:rPr>
                <w:rFonts w:hint="eastAsia" w:ascii="仿宋_GB2312" w:eastAsia="仿宋_GB2312" w:cs="FangSong_GB2312"/>
                <w:sz w:val="24"/>
                <w:lang w:bidi="ar-SA"/>
              </w:rPr>
              <w:t>赵</w:t>
            </w:r>
            <w:r>
              <w:rPr>
                <w:rFonts w:hint="eastAsia" w:ascii="仿宋_GB2312" w:eastAsia="仿宋_GB2312" w:cs="FangSong_GB2312"/>
                <w:sz w:val="24"/>
                <w:lang w:val="en-US" w:eastAsia="zh-CN" w:bidi="ar-SA"/>
              </w:rPr>
              <w:t xml:space="preserve">  </w:t>
            </w:r>
            <w:r>
              <w:rPr>
                <w:rFonts w:hint="eastAsia" w:ascii="仿宋_GB2312" w:eastAsia="仿宋_GB2312" w:cs="FangSong_GB2312"/>
                <w:sz w:val="24"/>
                <w:lang w:bidi="ar-SA"/>
              </w:rPr>
              <w:t>磊</w:t>
            </w:r>
          </w:p>
        </w:tc>
        <w:tc>
          <w:tcPr>
            <w:tcW w:w="1599" w:type="dxa"/>
            <w:vAlign w:val="center"/>
          </w:tcPr>
          <w:p>
            <w:pPr>
              <w:spacing w:line="300" w:lineRule="exact"/>
              <w:jc w:val="center"/>
              <w:rPr>
                <w:rFonts w:hint="eastAsia" w:ascii="仿宋_GB2312" w:eastAsia="仿宋_GB2312" w:cs="FangSong_GB2312" w:hAnsiTheme="minorHAnsi"/>
                <w:kern w:val="2"/>
                <w:sz w:val="24"/>
                <w:szCs w:val="24"/>
                <w:lang w:val="en-US" w:eastAsia="zh-CN" w:bidi="ar-SA"/>
              </w:rPr>
            </w:pPr>
            <w:r>
              <w:rPr>
                <w:rFonts w:hint="eastAsia" w:ascii="仿宋_GB2312" w:eastAsia="仿宋_GB2312" w:cs="FangSong_GB2312"/>
                <w:sz w:val="24"/>
                <w:lang w:val="en-US" w:eastAsia="zh-CN" w:bidi="ar-SA"/>
              </w:rPr>
              <w:t>延期2020.11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142</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汽车座椅冲击试验台</w:t>
            </w:r>
          </w:p>
        </w:tc>
        <w:tc>
          <w:tcPr>
            <w:tcW w:w="3120"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十堰市产品质量监督检验所</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2019.1—2019.12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19Y128</w:t>
            </w:r>
          </w:p>
        </w:tc>
        <w:tc>
          <w:tcPr>
            <w:tcW w:w="1125" w:type="dxa"/>
            <w:vAlign w:val="center"/>
          </w:tcPr>
          <w:p>
            <w:pPr>
              <w:spacing w:line="300" w:lineRule="exact"/>
              <w:jc w:val="center"/>
              <w:rPr>
                <w:rFonts w:hint="eastAsia" w:ascii="仿宋" w:hAnsi="仿宋" w:eastAsia="仿宋" w:cs="仿宋"/>
                <w:color w:val="FF0000"/>
                <w:kern w:val="2"/>
                <w:sz w:val="24"/>
                <w:szCs w:val="24"/>
                <w:lang w:val="en-US" w:eastAsia="zh-CN" w:bidi="ar-SA"/>
              </w:rPr>
            </w:pPr>
            <w:r>
              <w:rPr>
                <w:rFonts w:hint="eastAsia" w:ascii="仿宋_GB2312" w:eastAsia="仿宋_GB2312" w:cs="FangSong_GB2312"/>
                <w:sz w:val="24"/>
                <w:lang w:bidi="ar-SA"/>
              </w:rPr>
              <w:t>郭</w:t>
            </w:r>
            <w:r>
              <w:rPr>
                <w:rFonts w:hint="eastAsia" w:ascii="仿宋_GB2312" w:eastAsia="仿宋_GB2312" w:cs="FangSong_GB2312"/>
                <w:sz w:val="24"/>
                <w:lang w:val="en-US" w:eastAsia="zh-CN" w:bidi="ar-SA"/>
              </w:rPr>
              <w:t xml:space="preserve">  </w:t>
            </w:r>
            <w:r>
              <w:rPr>
                <w:rFonts w:hint="eastAsia" w:ascii="仿宋_GB2312" w:eastAsia="仿宋_GB2312" w:cs="FangSong_GB2312"/>
                <w:sz w:val="24"/>
                <w:lang w:bidi="ar-SA"/>
              </w:rPr>
              <w:t>飞</w:t>
            </w:r>
          </w:p>
        </w:tc>
        <w:tc>
          <w:tcPr>
            <w:tcW w:w="1599" w:type="dxa"/>
            <w:vAlign w:val="center"/>
          </w:tcPr>
          <w:p>
            <w:pPr>
              <w:spacing w:line="300" w:lineRule="exact"/>
              <w:jc w:val="center"/>
              <w:rPr>
                <w:rFonts w:hint="eastAsia" w:ascii="仿宋_GB2312" w:eastAsia="仿宋_GB2312" w:cs="FangSong_GB2312" w:hAnsiTheme="minorHAnsi"/>
                <w:kern w:val="2"/>
                <w:sz w:val="24"/>
                <w:szCs w:val="24"/>
                <w:lang w:val="en-US" w:eastAsia="zh-CN" w:bidi="ar-SA"/>
              </w:rPr>
            </w:pPr>
            <w:r>
              <w:rPr>
                <w:rFonts w:hint="eastAsia" w:ascii="仿宋_GB2312" w:eastAsia="仿宋_GB2312" w:cs="FangSong_GB2312"/>
                <w:sz w:val="24"/>
                <w:lang w:val="en-US" w:eastAsia="zh-CN" w:bidi="ar-SA"/>
              </w:rPr>
              <w:t>延期2020.11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143</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Survivin在肾透明细胞癌中的表达及对人肾透明细胞癌细胞生物行为的影响研究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17Y27</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罗  文</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144</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脂肪干细胞复合脱细胞真皮基质修复深度烧伤创面的实验研究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17Y30</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刘  华</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145</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针刀治疗膝骨关节炎的临床观察及其机制的实验研究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十堰市人民医院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17Y31</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施  斌</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146</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釉基质衍生物对人牙乳头干细胞分化、增殖影响的研究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东风汽车公司总医院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17Y43</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张  帆</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147</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内毒素耐受下hPDLCs、THP-1炎性因子差异化表达的研究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东风汽车公司总医院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2017.1—2018.12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17Y45</w:t>
            </w:r>
          </w:p>
        </w:tc>
        <w:tc>
          <w:tcPr>
            <w:tcW w:w="1125"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任伟伟</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148</w:t>
            </w:r>
          </w:p>
        </w:tc>
        <w:tc>
          <w:tcPr>
            <w:tcW w:w="5979" w:type="dxa"/>
            <w:vAlign w:val="center"/>
          </w:tcPr>
          <w:p>
            <w:pPr>
              <w:jc w:val="both"/>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桃仁-红花“药对”的HPLC特征图谱及其混合配方颗粒质量控制的研究</w:t>
            </w:r>
          </w:p>
        </w:tc>
        <w:tc>
          <w:tcPr>
            <w:tcW w:w="3120"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十堰市中医医院</w:t>
            </w:r>
          </w:p>
        </w:tc>
        <w:tc>
          <w:tcPr>
            <w:tcW w:w="1890"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sz w:val="21"/>
                <w:szCs w:val="21"/>
                <w:vertAlign w:val="baseline"/>
                <w:lang w:val="en-US" w:eastAsia="zh-CN"/>
              </w:rPr>
              <w:t>2017.1—2017.12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17Y62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郭  进</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149</w:t>
            </w:r>
          </w:p>
        </w:tc>
        <w:tc>
          <w:tcPr>
            <w:tcW w:w="5979" w:type="dxa"/>
            <w:vAlign w:val="center"/>
          </w:tcPr>
          <w:p>
            <w:pPr>
              <w:spacing w:line="30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跨理论模型的动机访谈对慢性心力衰竭患者自我管理干预研究</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湖北医药学院</w:t>
            </w:r>
          </w:p>
        </w:tc>
        <w:tc>
          <w:tcPr>
            <w:tcW w:w="1890" w:type="dxa"/>
            <w:vAlign w:val="center"/>
          </w:tcPr>
          <w:p>
            <w:pPr>
              <w:jc w:val="center"/>
              <w:rPr>
                <w:rFonts w:hint="eastAsia" w:asciiTheme="minorHAnsi" w:hAnsiTheme="minorHAnsi" w:eastAsiaTheme="minorEastAsia" w:cstheme="minorBidi"/>
                <w:color w:val="auto"/>
                <w:kern w:val="2"/>
                <w:sz w:val="21"/>
                <w:szCs w:val="21"/>
                <w:vertAlign w:val="baseline"/>
                <w:lang w:val="en-US" w:eastAsia="zh-CN" w:bidi="ar-SA"/>
              </w:rPr>
            </w:pPr>
            <w:r>
              <w:rPr>
                <w:rFonts w:hint="eastAsia" w:cs="Arial"/>
                <w:color w:val="auto"/>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18Y09</w:t>
            </w:r>
          </w:p>
        </w:tc>
        <w:tc>
          <w:tcPr>
            <w:tcW w:w="1125"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张雪林</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150</w:t>
            </w:r>
          </w:p>
        </w:tc>
        <w:tc>
          <w:tcPr>
            <w:tcW w:w="5979" w:type="dxa"/>
            <w:vAlign w:val="center"/>
          </w:tcPr>
          <w:p>
            <w:pPr>
              <w:spacing w:line="280" w:lineRule="exact"/>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CAD/CAM椅旁全瓷嵌体改善活髓后牙食物嵌塞的临床应用</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国药东风总医院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18Y79</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刘彩云</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151</w:t>
            </w:r>
          </w:p>
        </w:tc>
        <w:tc>
          <w:tcPr>
            <w:tcW w:w="5979" w:type="dxa"/>
            <w:vAlign w:val="center"/>
          </w:tcPr>
          <w:p>
            <w:pPr>
              <w:spacing w:line="280" w:lineRule="exact"/>
              <w:rPr>
                <w:rFonts w:hint="eastAsia" w:ascii="仿宋" w:hAnsi="仿宋" w:eastAsia="仿宋" w:cs="仿宋"/>
                <w:color w:val="000000"/>
                <w:kern w:val="2"/>
                <w:sz w:val="24"/>
                <w:szCs w:val="22"/>
                <w:lang w:val="en-US" w:eastAsia="zh-CN" w:bidi="ar-SA"/>
              </w:rPr>
            </w:pPr>
            <w:r>
              <w:rPr>
                <w:rFonts w:hint="eastAsia" w:ascii="仿宋" w:hAnsi="仿宋" w:eastAsia="仿宋" w:cs="仿宋"/>
                <w:sz w:val="24"/>
              </w:rPr>
              <w:t>厚朴对口腔多菌种生物膜的防治及机制研究</w:t>
            </w:r>
          </w:p>
        </w:tc>
        <w:tc>
          <w:tcPr>
            <w:tcW w:w="3120" w:type="dxa"/>
            <w:vAlign w:val="center"/>
          </w:tcPr>
          <w:p>
            <w:pPr>
              <w:spacing w:line="2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rPr>
              <w:t>国药东风花果医院</w:t>
            </w:r>
          </w:p>
        </w:tc>
        <w:tc>
          <w:tcPr>
            <w:tcW w:w="1890" w:type="dxa"/>
            <w:vAlign w:val="center"/>
          </w:tcPr>
          <w:p>
            <w:pPr>
              <w:jc w:val="center"/>
              <w:rPr>
                <w:rFonts w:hint="eastAsia" w:asciiTheme="minorHAnsi" w:hAnsiTheme="minorHAnsi" w:eastAsiaTheme="minorEastAsia" w:cstheme="minorBidi"/>
                <w:kern w:val="2"/>
                <w:sz w:val="21"/>
                <w:szCs w:val="21"/>
                <w:vertAlign w:val="baseline"/>
                <w:lang w:val="en-US" w:eastAsia="zh-CN" w:bidi="ar-SA"/>
              </w:rPr>
            </w:pPr>
            <w:r>
              <w:rPr>
                <w:rFonts w:hint="eastAsia" w:cs="Arial"/>
                <w:sz w:val="21"/>
                <w:szCs w:val="21"/>
                <w:vertAlign w:val="baseline"/>
                <w:lang w:val="en-US" w:eastAsia="zh-CN"/>
              </w:rPr>
              <w:t>2018.1-2019.12</w:t>
            </w:r>
          </w:p>
        </w:tc>
        <w:tc>
          <w:tcPr>
            <w:tcW w:w="1395" w:type="dxa"/>
            <w:vAlign w:val="center"/>
          </w:tcPr>
          <w:p>
            <w:pPr>
              <w:jc w:val="center"/>
              <w:rPr>
                <w:rFonts w:hint="eastAsia" w:cs="Arial" w:asciiTheme="minorHAnsi" w:hAnsiTheme="minorHAnsi" w:eastAsiaTheme="minorEastAsia"/>
                <w:kern w:val="2"/>
                <w:sz w:val="21"/>
                <w:szCs w:val="21"/>
                <w:vertAlign w:val="baseline"/>
                <w:lang w:val="en-US" w:eastAsia="zh-CN" w:bidi="ar-SA"/>
              </w:rPr>
            </w:pPr>
            <w:r>
              <w:rPr>
                <w:rFonts w:hint="eastAsia" w:cs="Arial"/>
                <w:sz w:val="21"/>
                <w:szCs w:val="21"/>
                <w:vertAlign w:val="baseline"/>
                <w:lang w:val="en-US" w:eastAsia="zh-CN"/>
              </w:rPr>
              <w:t>18Y102</w:t>
            </w:r>
          </w:p>
        </w:tc>
        <w:tc>
          <w:tcPr>
            <w:tcW w:w="1125" w:type="dxa"/>
            <w:vAlign w:val="center"/>
          </w:tcPr>
          <w:p>
            <w:pPr>
              <w:spacing w:line="3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rPr>
              <w:t>左胜元</w:t>
            </w:r>
          </w:p>
        </w:tc>
        <w:tc>
          <w:tcPr>
            <w:tcW w:w="1599" w:type="dxa"/>
            <w:vAlign w:val="center"/>
          </w:tcPr>
          <w:p>
            <w:pPr>
              <w:jc w:val="center"/>
              <w:rPr>
                <w:rFonts w:hint="eastAsia" w:ascii="仿宋_GB2312" w:eastAsia="仿宋_GB2312" w:cs="FangSong_GB2312"/>
                <w:sz w:val="24"/>
                <w:lang w:val="en-US" w:eastAsia="zh-CN" w:bidi="ar-SA"/>
              </w:rPr>
            </w:pPr>
            <w:r>
              <w:rPr>
                <w:rFonts w:hint="eastAsia" w:ascii="仿宋_GB2312" w:eastAsia="仿宋_GB2312" w:cs="FangSong_GB2312"/>
                <w:sz w:val="24"/>
                <w:lang w:val="en-US" w:eastAsia="zh-CN" w:bidi="ar-SA"/>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152</w:t>
            </w:r>
          </w:p>
        </w:tc>
        <w:tc>
          <w:tcPr>
            <w:tcW w:w="5979" w:type="dxa"/>
            <w:vAlign w:val="center"/>
          </w:tcPr>
          <w:p>
            <w:pPr>
              <w:spacing w:line="28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枪管内膛3D 精密检测系统</w:t>
            </w:r>
          </w:p>
        </w:tc>
        <w:tc>
          <w:tcPr>
            <w:tcW w:w="3120"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十堰博特检测技术有限公司</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2018.1—2019.1</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18Y124</w:t>
            </w:r>
          </w:p>
        </w:tc>
        <w:tc>
          <w:tcPr>
            <w:tcW w:w="112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宋</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科</w:t>
            </w:r>
          </w:p>
        </w:tc>
        <w:tc>
          <w:tcPr>
            <w:tcW w:w="1599"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终止作废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7" w:type="dxa"/>
            <w:vAlign w:val="center"/>
          </w:tcPr>
          <w:p>
            <w:pPr>
              <w:jc w:val="center"/>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153</w:t>
            </w:r>
          </w:p>
        </w:tc>
        <w:tc>
          <w:tcPr>
            <w:tcW w:w="5979" w:type="dxa"/>
            <w:vAlign w:val="top"/>
          </w:tcPr>
          <w:p>
            <w:pPr>
              <w:jc w:val="both"/>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基于消失模铸造的高强韧球墨铸铁工艺与应用研究</w:t>
            </w:r>
          </w:p>
        </w:tc>
        <w:tc>
          <w:tcPr>
            <w:tcW w:w="3120" w:type="dxa"/>
            <w:vAlign w:val="center"/>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_GB2312" w:eastAsia="仿宋_GB2312" w:cs="FangSong_GB2312"/>
                <w:sz w:val="24"/>
                <w:lang w:bidi="ar-SA"/>
              </w:rPr>
              <w:t>湖北星源科技有限公司</w:t>
            </w:r>
          </w:p>
        </w:tc>
        <w:tc>
          <w:tcPr>
            <w:tcW w:w="1890"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2019.1—2019.12</w:t>
            </w:r>
          </w:p>
        </w:tc>
        <w:tc>
          <w:tcPr>
            <w:tcW w:w="1395" w:type="dxa"/>
            <w:vAlign w:val="center"/>
          </w:tcPr>
          <w:p>
            <w:pPr>
              <w:jc w:val="center"/>
              <w:rPr>
                <w:rFonts w:hint="eastAsia" w:cs="Arial" w:asciiTheme="minorHAnsi" w:hAnsiTheme="minorHAnsi" w:eastAsiaTheme="minorEastAsia"/>
                <w:color w:val="auto"/>
                <w:kern w:val="2"/>
                <w:sz w:val="21"/>
                <w:szCs w:val="21"/>
                <w:vertAlign w:val="baseline"/>
                <w:lang w:val="en-US" w:eastAsia="zh-CN" w:bidi="ar-SA"/>
              </w:rPr>
            </w:pPr>
            <w:r>
              <w:rPr>
                <w:rFonts w:hint="eastAsia" w:cs="Arial"/>
                <w:color w:val="auto"/>
                <w:sz w:val="21"/>
                <w:szCs w:val="21"/>
                <w:vertAlign w:val="baseline"/>
                <w:lang w:val="en-US" w:eastAsia="zh-CN"/>
              </w:rPr>
              <w:t>19Y137</w:t>
            </w:r>
          </w:p>
        </w:tc>
        <w:tc>
          <w:tcPr>
            <w:tcW w:w="1125" w:type="dxa"/>
            <w:vAlign w:val="center"/>
          </w:tcPr>
          <w:p>
            <w:pPr>
              <w:jc w:val="center"/>
              <w:rPr>
                <w:rFonts w:hint="eastAsia" w:ascii="仿宋" w:hAnsi="仿宋" w:eastAsia="仿宋" w:cs="仿宋"/>
                <w:color w:val="FF0000"/>
                <w:kern w:val="2"/>
                <w:sz w:val="24"/>
                <w:szCs w:val="24"/>
                <w:lang w:val="en-US" w:eastAsia="zh-CN" w:bidi="ar-SA"/>
              </w:rPr>
            </w:pPr>
            <w:r>
              <w:rPr>
                <w:rFonts w:hint="eastAsia" w:ascii="仿宋_GB2312" w:eastAsia="仿宋_GB2312" w:cs="FangSong_GB2312"/>
                <w:sz w:val="24"/>
                <w:lang w:bidi="ar-SA"/>
              </w:rPr>
              <w:t>冀元贵</w:t>
            </w:r>
          </w:p>
        </w:tc>
        <w:tc>
          <w:tcPr>
            <w:tcW w:w="1599" w:type="dxa"/>
            <w:vAlign w:val="center"/>
          </w:tcPr>
          <w:p>
            <w:pPr>
              <w:jc w:val="center"/>
              <w:rPr>
                <w:rFonts w:hint="eastAsia" w:ascii="仿宋_GB2312" w:eastAsia="仿宋_GB2312" w:cs="FangSong_GB2312" w:hAnsiTheme="minorHAnsi"/>
                <w:kern w:val="2"/>
                <w:sz w:val="24"/>
                <w:szCs w:val="24"/>
                <w:lang w:val="en-US" w:eastAsia="zh-CN" w:bidi="ar-SA"/>
              </w:rPr>
            </w:pPr>
            <w:r>
              <w:rPr>
                <w:rFonts w:hint="eastAsia" w:ascii="仿宋_GB2312" w:eastAsia="仿宋_GB2312" w:cs="FangSong_GB2312"/>
                <w:sz w:val="24"/>
                <w:lang w:val="en-US" w:eastAsia="zh-CN" w:bidi="ar-SA"/>
              </w:rPr>
              <w:t>终止作废</w:t>
            </w:r>
          </w:p>
        </w:tc>
      </w:tr>
    </w:tbl>
    <w:p>
      <w:pPr>
        <w:jc w:val="both"/>
        <w:rPr>
          <w:rFonts w:hint="default" w:ascii="仿宋" w:hAnsi="仿宋" w:eastAsia="仿宋" w:cs="仿宋"/>
          <w:sz w:val="32"/>
          <w:szCs w:val="32"/>
          <w:lang w:val="en-US" w:eastAsia="zh-CN"/>
        </w:rPr>
      </w:pPr>
      <w:bookmarkStart w:id="0" w:name="_GoBack"/>
      <w:bookmarkEnd w:id="0"/>
    </w:p>
    <w:sectPr>
      <w:pgSz w:w="16838" w:h="11906" w:orient="landscape"/>
      <w:pgMar w:top="1417" w:right="1814"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仿宋_GB2312"/>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永中仿宋"/>
    <w:panose1 w:val="02010609060101010101"/>
    <w:charset w:val="86"/>
    <w:family w:val="auto"/>
    <w:pitch w:val="default"/>
    <w:sig w:usb0="00000000" w:usb1="00000000" w:usb2="00000016" w:usb3="00000000" w:csb0="00040001" w:csb1="00000000"/>
  </w:font>
  <w:font w:name="楷体">
    <w:altName w:val="永中仿宋"/>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永中仿宋">
    <w:panose1 w:val="02010600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C6176"/>
    <w:rsid w:val="00EB33FD"/>
    <w:rsid w:val="077773C2"/>
    <w:rsid w:val="08D75371"/>
    <w:rsid w:val="0BC60864"/>
    <w:rsid w:val="0CC565D6"/>
    <w:rsid w:val="0F9C6176"/>
    <w:rsid w:val="0FB936B5"/>
    <w:rsid w:val="12F30470"/>
    <w:rsid w:val="18EE645D"/>
    <w:rsid w:val="1E31308B"/>
    <w:rsid w:val="226B4C17"/>
    <w:rsid w:val="237B7A56"/>
    <w:rsid w:val="2A1A1743"/>
    <w:rsid w:val="3240379A"/>
    <w:rsid w:val="3AEE7EC7"/>
    <w:rsid w:val="41F03931"/>
    <w:rsid w:val="429C3345"/>
    <w:rsid w:val="45301D9F"/>
    <w:rsid w:val="4BE54836"/>
    <w:rsid w:val="4E7645DD"/>
    <w:rsid w:val="4F8E448E"/>
    <w:rsid w:val="565A2DE4"/>
    <w:rsid w:val="598E7B97"/>
    <w:rsid w:val="5A373DC4"/>
    <w:rsid w:val="5BF90032"/>
    <w:rsid w:val="5E5631EC"/>
    <w:rsid w:val="5EE7EBD7"/>
    <w:rsid w:val="5FDC29B2"/>
    <w:rsid w:val="60D811E5"/>
    <w:rsid w:val="65567529"/>
    <w:rsid w:val="68516B66"/>
    <w:rsid w:val="692B4FD0"/>
    <w:rsid w:val="76F84AF1"/>
    <w:rsid w:val="7E0F21D0"/>
    <w:rsid w:val="7FE7B9D1"/>
    <w:rsid w:val="9B7AB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2019-07-26T15:46:00Z</dcterms:created>
  <dc:creator>傻爷们</dc:creator>
  <cp:lastModifiedBy>小胖戴夫</cp:lastModifiedBy>
  <cp:lastPrinted>2020-07-27T10:14:00Z</cp:lastPrinted>
  <dcterms:modified xsi:type="dcterms:W3CDTF">2020-07-28T17:30:17Z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2052-11.1.0.8392</vt:lpwstr>
  </property>
</Properties>
</file>